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2D3" w:rsidRPr="00782CED" w:rsidRDefault="00FE12D3" w:rsidP="00C922EF">
      <w:pPr>
        <w:tabs>
          <w:tab w:val="left" w:pos="720"/>
        </w:tabs>
        <w:spacing w:before="360"/>
        <w:jc w:val="center"/>
        <w:rPr>
          <w:b/>
          <w:bCs/>
        </w:rPr>
      </w:pPr>
      <w:r w:rsidRPr="00505A4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1" o:spid="_x0000_i1025" type="#_x0000_t75" alt="Описание: logo_cropBG" style="width:141.75pt;height:80.25pt;visibility:visible">
            <v:imagedata r:id="rId7" o:title=""/>
          </v:shape>
        </w:pict>
      </w:r>
    </w:p>
    <w:p w:rsidR="00FE12D3" w:rsidRPr="00782CED" w:rsidRDefault="00FE12D3" w:rsidP="00872460">
      <w:pPr>
        <w:ind w:left="4536"/>
        <w:rPr>
          <w:b/>
          <w:bCs/>
          <w:color w:val="C00000"/>
        </w:rPr>
      </w:pPr>
    </w:p>
    <w:p w:rsidR="00FE12D3" w:rsidRPr="00782CED" w:rsidRDefault="00FE12D3" w:rsidP="00872460">
      <w:pPr>
        <w:ind w:left="4536"/>
        <w:rPr>
          <w:b/>
          <w:bCs/>
          <w:color w:val="C00000"/>
        </w:rPr>
      </w:pPr>
    </w:p>
    <w:p w:rsidR="00FE12D3" w:rsidRPr="00782CED" w:rsidRDefault="00FE12D3" w:rsidP="00872460">
      <w:pPr>
        <w:ind w:left="4536" w:right="-567"/>
        <w:rPr>
          <w:b/>
          <w:bCs/>
          <w:i/>
          <w:iCs/>
          <w:color w:val="C00000"/>
          <w:sz w:val="20"/>
          <w:szCs w:val="20"/>
        </w:rPr>
      </w:pPr>
    </w:p>
    <w:p w:rsidR="00FE12D3" w:rsidRPr="00782CED" w:rsidRDefault="00FE12D3" w:rsidP="00105DCE">
      <w:pPr>
        <w:tabs>
          <w:tab w:val="left" w:pos="720"/>
        </w:tabs>
        <w:spacing w:before="1800" w:after="1800"/>
        <w:jc w:val="center"/>
        <w:rPr>
          <w:b/>
          <w:bCs/>
          <w:spacing w:val="60"/>
          <w:sz w:val="28"/>
          <w:szCs w:val="28"/>
        </w:rPr>
      </w:pPr>
      <w:r w:rsidRPr="00782CED">
        <w:rPr>
          <w:b/>
          <w:bCs/>
          <w:spacing w:val="60"/>
          <w:sz w:val="28"/>
          <w:szCs w:val="28"/>
        </w:rPr>
        <w:t>ОДИТЕН ДОКЛАД</w:t>
      </w:r>
    </w:p>
    <w:p w:rsidR="00FE12D3" w:rsidRPr="001947E5" w:rsidRDefault="00FE12D3" w:rsidP="000C4F9B">
      <w:pPr>
        <w:tabs>
          <w:tab w:val="left" w:pos="720"/>
        </w:tabs>
        <w:jc w:val="center"/>
        <w:rPr>
          <w:b/>
          <w:bCs/>
          <w:lang w:val="ru-RU"/>
        </w:rPr>
      </w:pPr>
      <w:r w:rsidRPr="00782CED">
        <w:rPr>
          <w:b/>
          <w:bCs/>
        </w:rPr>
        <w:t>№</w:t>
      </w:r>
      <w:r w:rsidRPr="001947E5">
        <w:rPr>
          <w:b/>
          <w:bCs/>
          <w:lang w:val="ru-RU"/>
        </w:rPr>
        <w:t>0100053013</w:t>
      </w:r>
    </w:p>
    <w:p w:rsidR="00FE12D3" w:rsidRPr="00782CED" w:rsidRDefault="00FE12D3" w:rsidP="0073466A">
      <w:pPr>
        <w:tabs>
          <w:tab w:val="left" w:pos="720"/>
        </w:tabs>
        <w:jc w:val="center"/>
        <w:rPr>
          <w:b/>
          <w:bCs/>
        </w:rPr>
      </w:pPr>
    </w:p>
    <w:p w:rsidR="00FE12D3" w:rsidRPr="003309D4" w:rsidRDefault="00FE12D3" w:rsidP="009D1058">
      <w:pPr>
        <w:tabs>
          <w:tab w:val="left" w:pos="720"/>
        </w:tabs>
        <w:jc w:val="center"/>
        <w:rPr>
          <w:b/>
          <w:bCs/>
          <w:lang w:val="en-US"/>
        </w:rPr>
      </w:pPr>
      <w:r w:rsidRPr="003309D4">
        <w:rPr>
          <w:b/>
          <w:bCs/>
        </w:rPr>
        <w:t>за резултатите от извършен финансов одит на</w:t>
      </w:r>
    </w:p>
    <w:p w:rsidR="00FE12D3" w:rsidRPr="003309D4" w:rsidRDefault="00FE12D3" w:rsidP="009D1058">
      <w:pPr>
        <w:tabs>
          <w:tab w:val="left" w:pos="720"/>
        </w:tabs>
        <w:jc w:val="center"/>
        <w:rPr>
          <w:b/>
          <w:bCs/>
        </w:rPr>
      </w:pPr>
      <w:r w:rsidRPr="003309D4">
        <w:rPr>
          <w:b/>
          <w:bCs/>
        </w:rPr>
        <w:t>Годишния финансов отчет на община Горна Оряховица</w:t>
      </w:r>
      <w:r>
        <w:rPr>
          <w:b/>
          <w:bCs/>
          <w:lang w:val="en-US"/>
        </w:rPr>
        <w:t xml:space="preserve"> </w:t>
      </w:r>
      <w:r w:rsidRPr="003309D4">
        <w:rPr>
          <w:b/>
          <w:bCs/>
        </w:rPr>
        <w:t xml:space="preserve">за 2013 г. </w:t>
      </w:r>
    </w:p>
    <w:p w:rsidR="00FE12D3" w:rsidRPr="003309D4" w:rsidRDefault="00FE12D3" w:rsidP="009D1058">
      <w:pPr>
        <w:tabs>
          <w:tab w:val="left" w:pos="720"/>
        </w:tabs>
        <w:jc w:val="center"/>
        <w:rPr>
          <w:b/>
          <w:bCs/>
        </w:rPr>
      </w:pPr>
    </w:p>
    <w:p w:rsidR="00FE12D3" w:rsidRPr="00782CED" w:rsidRDefault="00FE12D3" w:rsidP="00286EE7">
      <w:pPr>
        <w:tabs>
          <w:tab w:val="left" w:pos="720"/>
        </w:tabs>
        <w:jc w:val="both"/>
      </w:pPr>
    </w:p>
    <w:p w:rsidR="00FE12D3" w:rsidRPr="00782CED" w:rsidRDefault="00FE12D3" w:rsidP="00286EE7">
      <w:pPr>
        <w:tabs>
          <w:tab w:val="left" w:pos="720"/>
        </w:tabs>
        <w:jc w:val="both"/>
      </w:pPr>
    </w:p>
    <w:p w:rsidR="00FE12D3" w:rsidRPr="00782CED" w:rsidRDefault="00FE12D3" w:rsidP="00286EE7">
      <w:pPr>
        <w:tabs>
          <w:tab w:val="left" w:pos="720"/>
        </w:tabs>
        <w:jc w:val="both"/>
      </w:pPr>
    </w:p>
    <w:p w:rsidR="00FE12D3" w:rsidRPr="00782CED" w:rsidRDefault="00FE12D3" w:rsidP="00286EE7">
      <w:pPr>
        <w:tabs>
          <w:tab w:val="left" w:pos="720"/>
        </w:tabs>
        <w:jc w:val="both"/>
      </w:pPr>
    </w:p>
    <w:p w:rsidR="00FE12D3" w:rsidRPr="00782CED" w:rsidRDefault="00FE12D3" w:rsidP="00286EE7">
      <w:pPr>
        <w:tabs>
          <w:tab w:val="left" w:pos="720"/>
        </w:tabs>
        <w:jc w:val="both"/>
      </w:pPr>
    </w:p>
    <w:p w:rsidR="00FE12D3" w:rsidRPr="00782CED" w:rsidRDefault="00FE12D3" w:rsidP="00286EE7">
      <w:pPr>
        <w:tabs>
          <w:tab w:val="left" w:pos="720"/>
        </w:tabs>
        <w:jc w:val="both"/>
      </w:pPr>
    </w:p>
    <w:p w:rsidR="00FE12D3" w:rsidRPr="00782CED" w:rsidRDefault="00FE12D3" w:rsidP="00286EE7">
      <w:pPr>
        <w:tabs>
          <w:tab w:val="left" w:pos="720"/>
        </w:tabs>
        <w:jc w:val="center"/>
      </w:pPr>
    </w:p>
    <w:p w:rsidR="00FE12D3" w:rsidRPr="00782CED" w:rsidRDefault="00FE12D3" w:rsidP="00286EE7">
      <w:pPr>
        <w:tabs>
          <w:tab w:val="left" w:pos="720"/>
        </w:tabs>
        <w:jc w:val="center"/>
      </w:pPr>
    </w:p>
    <w:p w:rsidR="00FE12D3" w:rsidRPr="00782CED" w:rsidRDefault="00FE12D3" w:rsidP="00286EE7">
      <w:pPr>
        <w:tabs>
          <w:tab w:val="left" w:pos="720"/>
        </w:tabs>
        <w:jc w:val="center"/>
      </w:pPr>
    </w:p>
    <w:p w:rsidR="00FE12D3" w:rsidRPr="00782CED" w:rsidRDefault="00FE12D3" w:rsidP="00286EE7">
      <w:pPr>
        <w:tabs>
          <w:tab w:val="left" w:pos="720"/>
        </w:tabs>
        <w:jc w:val="center"/>
      </w:pPr>
    </w:p>
    <w:p w:rsidR="00FE12D3" w:rsidRPr="00782CED" w:rsidRDefault="00FE12D3" w:rsidP="00286EE7">
      <w:pPr>
        <w:tabs>
          <w:tab w:val="left" w:pos="720"/>
        </w:tabs>
        <w:jc w:val="center"/>
      </w:pPr>
    </w:p>
    <w:p w:rsidR="00FE12D3" w:rsidRPr="00782CED" w:rsidRDefault="00FE12D3" w:rsidP="00286EE7">
      <w:pPr>
        <w:tabs>
          <w:tab w:val="left" w:pos="720"/>
        </w:tabs>
        <w:jc w:val="center"/>
      </w:pPr>
    </w:p>
    <w:p w:rsidR="00FE12D3" w:rsidRPr="00782CED" w:rsidRDefault="00FE12D3" w:rsidP="00286EE7">
      <w:pPr>
        <w:tabs>
          <w:tab w:val="left" w:pos="720"/>
        </w:tabs>
        <w:jc w:val="center"/>
      </w:pPr>
    </w:p>
    <w:p w:rsidR="00FE12D3" w:rsidRPr="00782CED" w:rsidRDefault="00FE12D3" w:rsidP="00286EE7">
      <w:pPr>
        <w:tabs>
          <w:tab w:val="left" w:pos="720"/>
        </w:tabs>
        <w:jc w:val="center"/>
      </w:pPr>
    </w:p>
    <w:p w:rsidR="00FE12D3" w:rsidRPr="00782CED" w:rsidRDefault="00FE12D3" w:rsidP="00286EE7">
      <w:pPr>
        <w:tabs>
          <w:tab w:val="left" w:pos="720"/>
        </w:tabs>
        <w:jc w:val="center"/>
      </w:pPr>
    </w:p>
    <w:p w:rsidR="00FE12D3" w:rsidRPr="00782CED" w:rsidRDefault="00FE12D3" w:rsidP="00286EE7">
      <w:pPr>
        <w:tabs>
          <w:tab w:val="left" w:pos="720"/>
        </w:tabs>
        <w:jc w:val="center"/>
      </w:pPr>
    </w:p>
    <w:p w:rsidR="00FE12D3" w:rsidRPr="00782CED" w:rsidRDefault="00FE12D3" w:rsidP="00286EE7">
      <w:pPr>
        <w:tabs>
          <w:tab w:val="left" w:pos="720"/>
        </w:tabs>
        <w:jc w:val="center"/>
      </w:pPr>
    </w:p>
    <w:p w:rsidR="00FE12D3" w:rsidRPr="00782CED" w:rsidRDefault="00FE12D3" w:rsidP="00286EE7">
      <w:pPr>
        <w:tabs>
          <w:tab w:val="left" w:pos="720"/>
        </w:tabs>
        <w:jc w:val="center"/>
      </w:pPr>
    </w:p>
    <w:p w:rsidR="00FE12D3" w:rsidRPr="003309D4" w:rsidRDefault="00FE12D3" w:rsidP="00286EE7">
      <w:pPr>
        <w:tabs>
          <w:tab w:val="left" w:pos="720"/>
        </w:tabs>
        <w:jc w:val="center"/>
        <w:rPr>
          <w:b/>
          <w:bCs/>
        </w:rPr>
      </w:pPr>
    </w:p>
    <w:p w:rsidR="00FE12D3" w:rsidRPr="003309D4" w:rsidRDefault="00FE12D3" w:rsidP="00286EE7">
      <w:pPr>
        <w:tabs>
          <w:tab w:val="left" w:pos="720"/>
        </w:tabs>
        <w:jc w:val="center"/>
        <w:rPr>
          <w:b/>
          <w:bCs/>
        </w:rPr>
      </w:pPr>
      <w:r w:rsidRPr="003309D4">
        <w:rPr>
          <w:b/>
          <w:bCs/>
        </w:rPr>
        <w:t>София, 2014г.</w:t>
      </w:r>
    </w:p>
    <w:p w:rsidR="00FE12D3" w:rsidRDefault="00FE12D3" w:rsidP="0075313C">
      <w:pPr>
        <w:pStyle w:val="TOCHeading"/>
        <w:jc w:val="center"/>
        <w:rPr>
          <w:rFonts w:ascii="Times New Roman" w:hAnsi="Times New Roman" w:cs="Times New Roman"/>
          <w:b/>
          <w:bCs/>
          <w:color w:val="auto"/>
          <w:sz w:val="28"/>
          <w:szCs w:val="28"/>
        </w:rPr>
      </w:pPr>
    </w:p>
    <w:p w:rsidR="00FE12D3" w:rsidRDefault="00FE12D3" w:rsidP="0075313C">
      <w:pPr>
        <w:pStyle w:val="TOCHeading"/>
        <w:jc w:val="center"/>
        <w:rPr>
          <w:rFonts w:ascii="Times New Roman" w:hAnsi="Times New Roman" w:cs="Times New Roman"/>
          <w:b/>
          <w:bCs/>
          <w:color w:val="auto"/>
          <w:sz w:val="28"/>
          <w:szCs w:val="28"/>
          <w:lang w:val="bg-BG"/>
        </w:rPr>
      </w:pPr>
      <w:r w:rsidRPr="0075313C">
        <w:rPr>
          <w:rFonts w:ascii="Times New Roman" w:hAnsi="Times New Roman" w:cs="Times New Roman"/>
          <w:b/>
          <w:bCs/>
          <w:color w:val="auto"/>
          <w:sz w:val="28"/>
          <w:szCs w:val="28"/>
          <w:lang w:val="bg-BG"/>
        </w:rPr>
        <w:t>СЪДЪРЖАНИЕ</w:t>
      </w:r>
    </w:p>
    <w:p w:rsidR="00FE12D3" w:rsidRPr="0075313C" w:rsidRDefault="00FE12D3" w:rsidP="0075313C">
      <w:pPr>
        <w:rPr>
          <w:lang w:eastAsia="en-US"/>
        </w:rPr>
      </w:pPr>
    </w:p>
    <w:p w:rsidR="00FE12D3" w:rsidRDefault="00FE12D3">
      <w:pPr>
        <w:pStyle w:val="TOC1"/>
        <w:tabs>
          <w:tab w:val="right" w:leader="dot" w:pos="9344"/>
        </w:tabs>
      </w:pPr>
      <w:r>
        <w:t>Списък на съкращенията………………………………………………………………………...3</w:t>
      </w:r>
    </w:p>
    <w:p w:rsidR="00FE12D3" w:rsidRDefault="00FE12D3">
      <w:pPr>
        <w:pStyle w:val="TOC1"/>
        <w:tabs>
          <w:tab w:val="right" w:leader="dot" w:pos="9344"/>
        </w:tabs>
        <w:rPr>
          <w:rFonts w:ascii="Calibri" w:hAnsi="Calibri" w:cs="Calibri"/>
          <w:noProof/>
          <w:sz w:val="22"/>
          <w:szCs w:val="22"/>
        </w:rPr>
      </w:pPr>
      <w:r>
        <w:fldChar w:fldCharType="begin"/>
      </w:r>
      <w:r>
        <w:instrText xml:space="preserve"> TOC \o "1-3" \h \z \u </w:instrText>
      </w:r>
      <w:r>
        <w:fldChar w:fldCharType="separate"/>
      </w:r>
      <w:hyperlink w:anchor="_Toc381874291" w:history="1">
        <w:r w:rsidRPr="00352936">
          <w:rPr>
            <w:rStyle w:val="Hyperlink"/>
            <w:noProof/>
          </w:rPr>
          <w:t>Част първа</w:t>
        </w:r>
        <w:r>
          <w:rPr>
            <w:noProof/>
            <w:webHidden/>
          </w:rPr>
          <w:tab/>
        </w:r>
        <w:r>
          <w:rPr>
            <w:noProof/>
            <w:webHidden/>
          </w:rPr>
          <w:fldChar w:fldCharType="begin"/>
        </w:r>
        <w:r>
          <w:rPr>
            <w:noProof/>
            <w:webHidden/>
          </w:rPr>
          <w:instrText xml:space="preserve"> PAGEREF _Toc381874291 \h </w:instrText>
        </w:r>
        <w:r>
          <w:rPr>
            <w:noProof/>
          </w:rPr>
        </w:r>
        <w:r>
          <w:rPr>
            <w:noProof/>
            <w:webHidden/>
          </w:rPr>
          <w:fldChar w:fldCharType="separate"/>
        </w:r>
        <w:r>
          <w:rPr>
            <w:noProof/>
            <w:webHidden/>
          </w:rPr>
          <w:t>3</w:t>
        </w:r>
        <w:r>
          <w:rPr>
            <w:noProof/>
            <w:webHidden/>
          </w:rPr>
          <w:fldChar w:fldCharType="end"/>
        </w:r>
      </w:hyperlink>
    </w:p>
    <w:p w:rsidR="00FE12D3" w:rsidRDefault="00FE12D3">
      <w:pPr>
        <w:pStyle w:val="TOC2"/>
        <w:rPr>
          <w:rFonts w:ascii="Calibri" w:hAnsi="Calibri" w:cs="Calibri"/>
          <w:noProof/>
          <w:sz w:val="22"/>
          <w:szCs w:val="22"/>
        </w:rPr>
      </w:pPr>
      <w:hyperlink w:anchor="_Toc381874292" w:history="1">
        <w:r w:rsidRPr="00352936">
          <w:rPr>
            <w:rStyle w:val="Hyperlink"/>
            <w:noProof/>
          </w:rPr>
          <w:t>І. ВЪВЕДЕНИЕ</w:t>
        </w:r>
        <w:r>
          <w:rPr>
            <w:noProof/>
            <w:webHidden/>
          </w:rPr>
          <w:tab/>
        </w:r>
        <w:r>
          <w:rPr>
            <w:noProof/>
            <w:webHidden/>
          </w:rPr>
          <w:fldChar w:fldCharType="begin"/>
        </w:r>
        <w:r>
          <w:rPr>
            <w:noProof/>
            <w:webHidden/>
          </w:rPr>
          <w:instrText xml:space="preserve"> PAGEREF _Toc381874292 \h </w:instrText>
        </w:r>
        <w:r>
          <w:rPr>
            <w:noProof/>
          </w:rPr>
        </w:r>
        <w:r>
          <w:rPr>
            <w:noProof/>
            <w:webHidden/>
          </w:rPr>
          <w:fldChar w:fldCharType="separate"/>
        </w:r>
        <w:r>
          <w:rPr>
            <w:noProof/>
            <w:webHidden/>
          </w:rPr>
          <w:t>3</w:t>
        </w:r>
        <w:r>
          <w:rPr>
            <w:noProof/>
            <w:webHidden/>
          </w:rPr>
          <w:fldChar w:fldCharType="end"/>
        </w:r>
      </w:hyperlink>
    </w:p>
    <w:p w:rsidR="00FE12D3" w:rsidRDefault="00FE12D3">
      <w:pPr>
        <w:pStyle w:val="TOC3"/>
        <w:tabs>
          <w:tab w:val="left" w:pos="1320"/>
          <w:tab w:val="right" w:leader="dot" w:pos="9344"/>
        </w:tabs>
        <w:rPr>
          <w:rFonts w:ascii="Calibri" w:hAnsi="Calibri" w:cs="Calibri"/>
          <w:noProof/>
          <w:sz w:val="22"/>
          <w:szCs w:val="22"/>
        </w:rPr>
      </w:pPr>
      <w:hyperlink w:anchor="_Toc381874293" w:history="1">
        <w:r w:rsidRPr="00352936">
          <w:rPr>
            <w:rStyle w:val="Hyperlink"/>
            <w:noProof/>
          </w:rPr>
          <w:t>1.</w:t>
        </w:r>
        <w:r>
          <w:rPr>
            <w:rFonts w:ascii="Calibri" w:hAnsi="Calibri" w:cs="Calibri"/>
            <w:noProof/>
            <w:sz w:val="22"/>
            <w:szCs w:val="22"/>
          </w:rPr>
          <w:tab/>
        </w:r>
        <w:r w:rsidRPr="00352936">
          <w:rPr>
            <w:rStyle w:val="Hyperlink"/>
            <w:noProof/>
          </w:rPr>
          <w:t>Правно основание за извършване на одита</w:t>
        </w:r>
        <w:r>
          <w:rPr>
            <w:noProof/>
            <w:webHidden/>
          </w:rPr>
          <w:tab/>
        </w:r>
        <w:r>
          <w:rPr>
            <w:noProof/>
            <w:webHidden/>
          </w:rPr>
          <w:fldChar w:fldCharType="begin"/>
        </w:r>
        <w:r>
          <w:rPr>
            <w:noProof/>
            <w:webHidden/>
          </w:rPr>
          <w:instrText xml:space="preserve"> PAGEREF _Toc381874293 \h </w:instrText>
        </w:r>
        <w:r>
          <w:rPr>
            <w:noProof/>
          </w:rPr>
        </w:r>
        <w:r>
          <w:rPr>
            <w:noProof/>
            <w:webHidden/>
          </w:rPr>
          <w:fldChar w:fldCharType="separate"/>
        </w:r>
        <w:r>
          <w:rPr>
            <w:noProof/>
            <w:webHidden/>
          </w:rPr>
          <w:t>3</w:t>
        </w:r>
        <w:r>
          <w:rPr>
            <w:noProof/>
            <w:webHidden/>
          </w:rPr>
          <w:fldChar w:fldCharType="end"/>
        </w:r>
      </w:hyperlink>
    </w:p>
    <w:p w:rsidR="00FE12D3" w:rsidRDefault="00FE12D3">
      <w:pPr>
        <w:pStyle w:val="TOC3"/>
        <w:tabs>
          <w:tab w:val="left" w:pos="1320"/>
          <w:tab w:val="right" w:leader="dot" w:pos="9344"/>
        </w:tabs>
        <w:rPr>
          <w:rFonts w:ascii="Calibri" w:hAnsi="Calibri" w:cs="Calibri"/>
          <w:noProof/>
          <w:sz w:val="22"/>
          <w:szCs w:val="22"/>
        </w:rPr>
      </w:pPr>
      <w:hyperlink w:anchor="_Toc381874294" w:history="1">
        <w:r w:rsidRPr="00352936">
          <w:rPr>
            <w:rStyle w:val="Hyperlink"/>
            <w:noProof/>
          </w:rPr>
          <w:t>2.</w:t>
        </w:r>
        <w:r>
          <w:rPr>
            <w:rFonts w:ascii="Calibri" w:hAnsi="Calibri" w:cs="Calibri"/>
            <w:noProof/>
            <w:sz w:val="22"/>
            <w:szCs w:val="22"/>
          </w:rPr>
          <w:tab/>
        </w:r>
        <w:r w:rsidRPr="00352936">
          <w:rPr>
            <w:rStyle w:val="Hyperlink"/>
            <w:noProof/>
          </w:rPr>
          <w:t>Предмет на одита</w:t>
        </w:r>
        <w:r>
          <w:rPr>
            <w:noProof/>
            <w:webHidden/>
          </w:rPr>
          <w:tab/>
        </w:r>
        <w:r>
          <w:rPr>
            <w:noProof/>
            <w:webHidden/>
          </w:rPr>
          <w:fldChar w:fldCharType="begin"/>
        </w:r>
        <w:r>
          <w:rPr>
            <w:noProof/>
            <w:webHidden/>
          </w:rPr>
          <w:instrText xml:space="preserve"> PAGEREF _Toc381874294 \h </w:instrText>
        </w:r>
        <w:r>
          <w:rPr>
            <w:noProof/>
          </w:rPr>
        </w:r>
        <w:r>
          <w:rPr>
            <w:noProof/>
            <w:webHidden/>
          </w:rPr>
          <w:fldChar w:fldCharType="separate"/>
        </w:r>
        <w:r>
          <w:rPr>
            <w:noProof/>
            <w:webHidden/>
          </w:rPr>
          <w:t>3</w:t>
        </w:r>
        <w:r>
          <w:rPr>
            <w:noProof/>
            <w:webHidden/>
          </w:rPr>
          <w:fldChar w:fldCharType="end"/>
        </w:r>
      </w:hyperlink>
    </w:p>
    <w:p w:rsidR="00FE12D3" w:rsidRDefault="00FE12D3">
      <w:pPr>
        <w:pStyle w:val="TOC3"/>
        <w:tabs>
          <w:tab w:val="left" w:pos="1320"/>
          <w:tab w:val="right" w:leader="dot" w:pos="9344"/>
        </w:tabs>
        <w:rPr>
          <w:rFonts w:ascii="Calibri" w:hAnsi="Calibri" w:cs="Calibri"/>
          <w:noProof/>
          <w:sz w:val="22"/>
          <w:szCs w:val="22"/>
        </w:rPr>
      </w:pPr>
      <w:hyperlink w:anchor="_Toc381874295" w:history="1">
        <w:r w:rsidRPr="00352936">
          <w:rPr>
            <w:rStyle w:val="Hyperlink"/>
            <w:noProof/>
          </w:rPr>
          <w:t>3.</w:t>
        </w:r>
        <w:r>
          <w:rPr>
            <w:rFonts w:ascii="Calibri" w:hAnsi="Calibri" w:cs="Calibri"/>
            <w:noProof/>
            <w:sz w:val="22"/>
            <w:szCs w:val="22"/>
          </w:rPr>
          <w:tab/>
        </w:r>
        <w:r w:rsidRPr="00352936">
          <w:rPr>
            <w:rStyle w:val="Hyperlink"/>
            <w:noProof/>
          </w:rPr>
          <w:t>Елементи на одитирания годишен финансов отчет:</w:t>
        </w:r>
        <w:r>
          <w:rPr>
            <w:noProof/>
            <w:webHidden/>
          </w:rPr>
          <w:tab/>
        </w:r>
        <w:r>
          <w:rPr>
            <w:noProof/>
            <w:webHidden/>
          </w:rPr>
          <w:fldChar w:fldCharType="begin"/>
        </w:r>
        <w:r>
          <w:rPr>
            <w:noProof/>
            <w:webHidden/>
          </w:rPr>
          <w:instrText xml:space="preserve"> PAGEREF _Toc381874295 \h </w:instrText>
        </w:r>
        <w:r>
          <w:rPr>
            <w:noProof/>
          </w:rPr>
        </w:r>
        <w:r>
          <w:rPr>
            <w:noProof/>
            <w:webHidden/>
          </w:rPr>
          <w:fldChar w:fldCharType="separate"/>
        </w:r>
        <w:r>
          <w:rPr>
            <w:noProof/>
            <w:webHidden/>
          </w:rPr>
          <w:t>3</w:t>
        </w:r>
        <w:r>
          <w:rPr>
            <w:noProof/>
            <w:webHidden/>
          </w:rPr>
          <w:fldChar w:fldCharType="end"/>
        </w:r>
      </w:hyperlink>
    </w:p>
    <w:p w:rsidR="00FE12D3" w:rsidRDefault="00FE12D3">
      <w:pPr>
        <w:pStyle w:val="TOC3"/>
        <w:tabs>
          <w:tab w:val="left" w:pos="1320"/>
          <w:tab w:val="right" w:leader="dot" w:pos="9344"/>
        </w:tabs>
        <w:rPr>
          <w:rFonts w:ascii="Calibri" w:hAnsi="Calibri" w:cs="Calibri"/>
          <w:noProof/>
          <w:sz w:val="22"/>
          <w:szCs w:val="22"/>
        </w:rPr>
      </w:pPr>
      <w:hyperlink w:anchor="_Toc381874296" w:history="1">
        <w:r w:rsidRPr="00352936">
          <w:rPr>
            <w:rStyle w:val="Hyperlink"/>
            <w:noProof/>
          </w:rPr>
          <w:t>4.</w:t>
        </w:r>
        <w:r>
          <w:rPr>
            <w:rFonts w:ascii="Calibri" w:hAnsi="Calibri" w:cs="Calibri"/>
            <w:noProof/>
            <w:sz w:val="22"/>
            <w:szCs w:val="22"/>
          </w:rPr>
          <w:tab/>
        </w:r>
        <w:r w:rsidRPr="00352936">
          <w:rPr>
            <w:rStyle w:val="Hyperlink"/>
            <w:noProof/>
          </w:rPr>
          <w:t>Обхват</w:t>
        </w:r>
        <w:r>
          <w:rPr>
            <w:noProof/>
            <w:webHidden/>
          </w:rPr>
          <w:tab/>
        </w:r>
        <w:r>
          <w:rPr>
            <w:noProof/>
            <w:webHidden/>
          </w:rPr>
          <w:fldChar w:fldCharType="begin"/>
        </w:r>
        <w:r>
          <w:rPr>
            <w:noProof/>
            <w:webHidden/>
          </w:rPr>
          <w:instrText xml:space="preserve"> PAGEREF _Toc381874296 \h </w:instrText>
        </w:r>
        <w:r>
          <w:rPr>
            <w:noProof/>
          </w:rPr>
        </w:r>
        <w:r>
          <w:rPr>
            <w:noProof/>
            <w:webHidden/>
          </w:rPr>
          <w:fldChar w:fldCharType="separate"/>
        </w:r>
        <w:r>
          <w:rPr>
            <w:noProof/>
            <w:webHidden/>
          </w:rPr>
          <w:t>3</w:t>
        </w:r>
        <w:r>
          <w:rPr>
            <w:noProof/>
            <w:webHidden/>
          </w:rPr>
          <w:fldChar w:fldCharType="end"/>
        </w:r>
      </w:hyperlink>
    </w:p>
    <w:p w:rsidR="00FE12D3" w:rsidRDefault="00FE12D3">
      <w:pPr>
        <w:pStyle w:val="TOC3"/>
        <w:tabs>
          <w:tab w:val="left" w:pos="1320"/>
          <w:tab w:val="right" w:leader="dot" w:pos="9344"/>
        </w:tabs>
        <w:rPr>
          <w:rFonts w:ascii="Calibri" w:hAnsi="Calibri" w:cs="Calibri"/>
          <w:noProof/>
          <w:sz w:val="22"/>
          <w:szCs w:val="22"/>
        </w:rPr>
      </w:pPr>
      <w:hyperlink w:anchor="_Toc381874297" w:history="1">
        <w:r w:rsidRPr="00352936">
          <w:rPr>
            <w:rStyle w:val="Hyperlink"/>
            <w:noProof/>
          </w:rPr>
          <w:t>5.</w:t>
        </w:r>
        <w:r>
          <w:rPr>
            <w:rFonts w:ascii="Calibri" w:hAnsi="Calibri" w:cs="Calibri"/>
            <w:noProof/>
            <w:sz w:val="22"/>
            <w:szCs w:val="22"/>
          </w:rPr>
          <w:tab/>
        </w:r>
        <w:r w:rsidRPr="00352936">
          <w:rPr>
            <w:rStyle w:val="Hyperlink"/>
            <w:noProof/>
          </w:rPr>
          <w:t>Основни финансови параметри на одитирания годишен финансов отчет.</w:t>
        </w:r>
        <w:r>
          <w:rPr>
            <w:noProof/>
            <w:webHidden/>
          </w:rPr>
          <w:tab/>
        </w:r>
        <w:r>
          <w:rPr>
            <w:noProof/>
            <w:webHidden/>
          </w:rPr>
          <w:fldChar w:fldCharType="begin"/>
        </w:r>
        <w:r>
          <w:rPr>
            <w:noProof/>
            <w:webHidden/>
          </w:rPr>
          <w:instrText xml:space="preserve"> PAGEREF _Toc381874297 \h </w:instrText>
        </w:r>
        <w:r>
          <w:rPr>
            <w:noProof/>
          </w:rPr>
        </w:r>
        <w:r>
          <w:rPr>
            <w:noProof/>
            <w:webHidden/>
          </w:rPr>
          <w:fldChar w:fldCharType="separate"/>
        </w:r>
        <w:r>
          <w:rPr>
            <w:noProof/>
            <w:webHidden/>
          </w:rPr>
          <w:t>3</w:t>
        </w:r>
        <w:r>
          <w:rPr>
            <w:noProof/>
            <w:webHidden/>
          </w:rPr>
          <w:fldChar w:fldCharType="end"/>
        </w:r>
      </w:hyperlink>
    </w:p>
    <w:p w:rsidR="00FE12D3" w:rsidRDefault="00FE12D3">
      <w:pPr>
        <w:pStyle w:val="TOC2"/>
        <w:rPr>
          <w:rFonts w:ascii="Calibri" w:hAnsi="Calibri" w:cs="Calibri"/>
          <w:noProof/>
          <w:sz w:val="22"/>
          <w:szCs w:val="22"/>
        </w:rPr>
      </w:pPr>
      <w:hyperlink w:anchor="_Toc381874298" w:history="1">
        <w:r w:rsidRPr="00352936">
          <w:rPr>
            <w:rStyle w:val="Hyperlink"/>
            <w:noProof/>
          </w:rPr>
          <w:t>ІІ. Отговорност на ръководството на одитираната организация за финансовия отчет</w:t>
        </w:r>
        <w:r>
          <w:rPr>
            <w:noProof/>
            <w:webHidden/>
          </w:rPr>
          <w:tab/>
        </w:r>
        <w:r>
          <w:rPr>
            <w:noProof/>
            <w:webHidden/>
          </w:rPr>
          <w:fldChar w:fldCharType="begin"/>
        </w:r>
        <w:r>
          <w:rPr>
            <w:noProof/>
            <w:webHidden/>
          </w:rPr>
          <w:instrText xml:space="preserve"> PAGEREF _Toc381874298 \h </w:instrText>
        </w:r>
        <w:r>
          <w:rPr>
            <w:noProof/>
          </w:rPr>
        </w:r>
        <w:r>
          <w:rPr>
            <w:noProof/>
            <w:webHidden/>
          </w:rPr>
          <w:fldChar w:fldCharType="separate"/>
        </w:r>
        <w:r>
          <w:rPr>
            <w:noProof/>
            <w:webHidden/>
          </w:rPr>
          <w:t>3</w:t>
        </w:r>
        <w:r>
          <w:rPr>
            <w:noProof/>
            <w:webHidden/>
          </w:rPr>
          <w:fldChar w:fldCharType="end"/>
        </w:r>
      </w:hyperlink>
    </w:p>
    <w:p w:rsidR="00FE12D3" w:rsidRDefault="00FE12D3">
      <w:pPr>
        <w:pStyle w:val="TOC2"/>
        <w:rPr>
          <w:rFonts w:ascii="Calibri" w:hAnsi="Calibri" w:cs="Calibri"/>
          <w:noProof/>
          <w:sz w:val="22"/>
          <w:szCs w:val="22"/>
        </w:rPr>
      </w:pPr>
      <w:hyperlink w:anchor="_Toc381874299" w:history="1">
        <w:r w:rsidRPr="00352936">
          <w:rPr>
            <w:rStyle w:val="Hyperlink"/>
            <w:noProof/>
          </w:rPr>
          <w:t>ІІІ. Отговорност на одитора</w:t>
        </w:r>
        <w:r>
          <w:rPr>
            <w:noProof/>
            <w:webHidden/>
          </w:rPr>
          <w:tab/>
        </w:r>
        <w:r>
          <w:rPr>
            <w:noProof/>
            <w:webHidden/>
          </w:rPr>
          <w:fldChar w:fldCharType="begin"/>
        </w:r>
        <w:r>
          <w:rPr>
            <w:noProof/>
            <w:webHidden/>
          </w:rPr>
          <w:instrText xml:space="preserve"> PAGEREF _Toc381874299 \h </w:instrText>
        </w:r>
        <w:r>
          <w:rPr>
            <w:noProof/>
          </w:rPr>
        </w:r>
        <w:r>
          <w:rPr>
            <w:noProof/>
            <w:webHidden/>
          </w:rPr>
          <w:fldChar w:fldCharType="separate"/>
        </w:r>
        <w:r>
          <w:rPr>
            <w:noProof/>
            <w:webHidden/>
          </w:rPr>
          <w:t>3</w:t>
        </w:r>
        <w:r>
          <w:rPr>
            <w:noProof/>
            <w:webHidden/>
          </w:rPr>
          <w:fldChar w:fldCharType="end"/>
        </w:r>
      </w:hyperlink>
    </w:p>
    <w:p w:rsidR="00FE12D3" w:rsidRDefault="00FE12D3">
      <w:pPr>
        <w:pStyle w:val="TOC1"/>
        <w:tabs>
          <w:tab w:val="right" w:leader="dot" w:pos="9344"/>
        </w:tabs>
        <w:rPr>
          <w:rFonts w:ascii="Calibri" w:hAnsi="Calibri" w:cs="Calibri"/>
          <w:noProof/>
          <w:sz w:val="22"/>
          <w:szCs w:val="22"/>
        </w:rPr>
      </w:pPr>
      <w:hyperlink w:anchor="_Toc381874300" w:history="1">
        <w:r w:rsidRPr="00352936">
          <w:rPr>
            <w:rStyle w:val="Hyperlink"/>
            <w:noProof/>
          </w:rPr>
          <w:t>Част втора</w:t>
        </w:r>
        <w:r>
          <w:rPr>
            <w:noProof/>
            <w:webHidden/>
          </w:rPr>
          <w:tab/>
          <w:t>6</w:t>
        </w:r>
      </w:hyperlink>
    </w:p>
    <w:p w:rsidR="00FE12D3" w:rsidRDefault="00FE12D3">
      <w:pPr>
        <w:pStyle w:val="TOC2"/>
        <w:rPr>
          <w:rFonts w:ascii="Calibri" w:hAnsi="Calibri" w:cs="Calibri"/>
          <w:noProof/>
          <w:sz w:val="22"/>
          <w:szCs w:val="22"/>
        </w:rPr>
      </w:pPr>
      <w:hyperlink w:anchor="_Toc381874301" w:history="1">
        <w:r w:rsidRPr="00352936">
          <w:rPr>
            <w:rStyle w:val="Hyperlink"/>
            <w:noProof/>
          </w:rPr>
          <w:t>І. Некоригирани отклонения, които оказват влияние върху достоверността на ГФО</w:t>
        </w:r>
        <w:r>
          <w:rPr>
            <w:noProof/>
            <w:webHidden/>
          </w:rPr>
          <w:tab/>
          <w:t>6</w:t>
        </w:r>
      </w:hyperlink>
    </w:p>
    <w:p w:rsidR="00FE12D3" w:rsidRDefault="00FE12D3">
      <w:pPr>
        <w:pStyle w:val="TOC2"/>
        <w:rPr>
          <w:rFonts w:ascii="Calibri" w:hAnsi="Calibri" w:cs="Calibri"/>
          <w:noProof/>
          <w:sz w:val="22"/>
          <w:szCs w:val="22"/>
        </w:rPr>
      </w:pPr>
      <w:hyperlink w:anchor="_Toc381874302" w:history="1">
        <w:r w:rsidRPr="00352936">
          <w:rPr>
            <w:rStyle w:val="Hyperlink"/>
            <w:noProof/>
          </w:rPr>
          <w:t>IІ. Некоригирани отклонения, които не оказват влияние върху достоверността на ГФО</w:t>
        </w:r>
        <w:r>
          <w:rPr>
            <w:noProof/>
            <w:webHidden/>
          </w:rPr>
          <w:tab/>
          <w:t>6</w:t>
        </w:r>
      </w:hyperlink>
    </w:p>
    <w:p w:rsidR="00FE12D3" w:rsidRPr="00D27951" w:rsidRDefault="00FE12D3" w:rsidP="00D27951">
      <w:pPr>
        <w:pStyle w:val="TOC2"/>
        <w:rPr>
          <w:noProof/>
        </w:rPr>
      </w:pPr>
      <w:hyperlink w:anchor="_Toc381874303" w:history="1">
        <w:r w:rsidRPr="00352936">
          <w:rPr>
            <w:rStyle w:val="Hyperlink"/>
            <w:noProof/>
          </w:rPr>
          <w:t>ІІІ. Отклонения, коригирани по време на одита</w:t>
        </w:r>
        <w:r>
          <w:rPr>
            <w:noProof/>
            <w:webHidden/>
          </w:rPr>
          <w:tab/>
          <w:t>6</w:t>
        </w:r>
      </w:hyperlink>
    </w:p>
    <w:p w:rsidR="00FE12D3" w:rsidRPr="00D27951" w:rsidRDefault="00FE12D3" w:rsidP="00F02DFC">
      <w:r>
        <w:t xml:space="preserve">       Опис на одитните доказателства…………………………………………………………...9</w:t>
      </w:r>
    </w:p>
    <w:p w:rsidR="00FE12D3" w:rsidRDefault="00FE12D3">
      <w:r>
        <w:fldChar w:fldCharType="end"/>
      </w:r>
    </w:p>
    <w:p w:rsidR="00FE12D3" w:rsidRDefault="00FE12D3" w:rsidP="00C922EF">
      <w:pPr>
        <w:tabs>
          <w:tab w:val="left" w:pos="0"/>
        </w:tabs>
        <w:spacing w:before="120" w:after="360"/>
        <w:ind w:firstLine="1077"/>
        <w:rPr>
          <w:b/>
          <w:bCs/>
        </w:rPr>
      </w:pPr>
    </w:p>
    <w:p w:rsidR="00FE12D3" w:rsidRPr="00782CED" w:rsidRDefault="00FE12D3" w:rsidP="00C56C43">
      <w:pPr>
        <w:tabs>
          <w:tab w:val="left" w:pos="0"/>
        </w:tabs>
        <w:spacing w:before="120" w:after="360"/>
        <w:ind w:firstLine="1077"/>
        <w:rPr>
          <w:b/>
          <w:bCs/>
        </w:rPr>
      </w:pPr>
      <w:r>
        <w:rPr>
          <w:b/>
          <w:bCs/>
        </w:rPr>
        <w:br w:type="page"/>
      </w:r>
      <w:r w:rsidRPr="00782CED">
        <w:rPr>
          <w:b/>
          <w:bCs/>
        </w:rPr>
        <w:t>СПИСЪК НА СЪКРАЩЕНИЯТА</w:t>
      </w:r>
    </w:p>
    <w:tbl>
      <w:tblPr>
        <w:tblW w:w="9471" w:type="dxa"/>
        <w:jc w:val="center"/>
        <w:tblLook w:val="01E0"/>
      </w:tblPr>
      <w:tblGrid>
        <w:gridCol w:w="1978"/>
        <w:gridCol w:w="7493"/>
      </w:tblGrid>
      <w:tr w:rsidR="00FE12D3" w:rsidRPr="00782CED">
        <w:trPr>
          <w:jc w:val="center"/>
        </w:trPr>
        <w:tc>
          <w:tcPr>
            <w:tcW w:w="1978" w:type="dxa"/>
          </w:tcPr>
          <w:p w:rsidR="00FE12D3" w:rsidRPr="00146B1E" w:rsidRDefault="00FE12D3" w:rsidP="00A72272">
            <w:pPr>
              <w:tabs>
                <w:tab w:val="left" w:pos="720"/>
              </w:tabs>
              <w:jc w:val="both"/>
            </w:pPr>
            <w:r w:rsidRPr="00146B1E">
              <w:t>ЗСч</w:t>
            </w:r>
          </w:p>
        </w:tc>
        <w:tc>
          <w:tcPr>
            <w:tcW w:w="7493" w:type="dxa"/>
          </w:tcPr>
          <w:p w:rsidR="00FE12D3" w:rsidRPr="00146B1E" w:rsidRDefault="00FE12D3" w:rsidP="00A72272">
            <w:pPr>
              <w:tabs>
                <w:tab w:val="left" w:pos="720"/>
              </w:tabs>
              <w:jc w:val="both"/>
            </w:pPr>
            <w:r w:rsidRPr="00146B1E">
              <w:t>Закон за счетоводството</w:t>
            </w:r>
          </w:p>
        </w:tc>
      </w:tr>
      <w:tr w:rsidR="00FE12D3" w:rsidRPr="00782CED">
        <w:trPr>
          <w:jc w:val="center"/>
        </w:trPr>
        <w:tc>
          <w:tcPr>
            <w:tcW w:w="1978" w:type="dxa"/>
          </w:tcPr>
          <w:p w:rsidR="00FE12D3" w:rsidRPr="00146B1E" w:rsidRDefault="00FE12D3" w:rsidP="00A72272">
            <w:pPr>
              <w:tabs>
                <w:tab w:val="left" w:pos="720"/>
              </w:tabs>
              <w:jc w:val="both"/>
            </w:pPr>
            <w:r w:rsidRPr="00146B1E">
              <w:t>ЗСП</w:t>
            </w:r>
          </w:p>
        </w:tc>
        <w:tc>
          <w:tcPr>
            <w:tcW w:w="7493" w:type="dxa"/>
          </w:tcPr>
          <w:p w:rsidR="00FE12D3" w:rsidRPr="00146B1E" w:rsidRDefault="00FE12D3" w:rsidP="00A72272">
            <w:pPr>
              <w:tabs>
                <w:tab w:val="left" w:pos="720"/>
              </w:tabs>
              <w:jc w:val="both"/>
            </w:pPr>
            <w:r w:rsidRPr="00146B1E">
              <w:t>Закон за Сметната палата</w:t>
            </w:r>
          </w:p>
        </w:tc>
      </w:tr>
      <w:tr w:rsidR="00FE12D3" w:rsidRPr="00782CED">
        <w:trPr>
          <w:jc w:val="center"/>
        </w:trPr>
        <w:tc>
          <w:tcPr>
            <w:tcW w:w="1978" w:type="dxa"/>
          </w:tcPr>
          <w:p w:rsidR="00FE12D3" w:rsidRPr="00146B1E" w:rsidRDefault="00FE12D3" w:rsidP="00A72272">
            <w:pPr>
              <w:tabs>
                <w:tab w:val="left" w:pos="720"/>
              </w:tabs>
              <w:jc w:val="both"/>
            </w:pPr>
            <w:r w:rsidRPr="00146B1E">
              <w:t>СБП</w:t>
            </w:r>
          </w:p>
        </w:tc>
        <w:tc>
          <w:tcPr>
            <w:tcW w:w="7493" w:type="dxa"/>
          </w:tcPr>
          <w:p w:rsidR="00FE12D3" w:rsidRPr="00146B1E" w:rsidRDefault="00FE12D3" w:rsidP="00A72272">
            <w:pPr>
              <w:tabs>
                <w:tab w:val="left" w:pos="720"/>
              </w:tabs>
              <w:jc w:val="both"/>
            </w:pPr>
            <w:r w:rsidRPr="00146B1E">
              <w:t>Сметкоплан на бюджетните предприятия</w:t>
            </w:r>
          </w:p>
        </w:tc>
      </w:tr>
      <w:tr w:rsidR="00FE12D3" w:rsidRPr="00782CED">
        <w:trPr>
          <w:jc w:val="center"/>
        </w:trPr>
        <w:tc>
          <w:tcPr>
            <w:tcW w:w="1978" w:type="dxa"/>
          </w:tcPr>
          <w:p w:rsidR="00FE12D3" w:rsidRPr="00146B1E" w:rsidRDefault="00FE12D3" w:rsidP="00A72272">
            <w:pPr>
              <w:tabs>
                <w:tab w:val="left" w:pos="720"/>
              </w:tabs>
              <w:jc w:val="both"/>
            </w:pPr>
            <w:r w:rsidRPr="00146B1E">
              <w:t>ЕБК</w:t>
            </w:r>
          </w:p>
        </w:tc>
        <w:tc>
          <w:tcPr>
            <w:tcW w:w="7493" w:type="dxa"/>
          </w:tcPr>
          <w:p w:rsidR="00FE12D3" w:rsidRPr="00146B1E" w:rsidRDefault="00FE12D3" w:rsidP="00A72272">
            <w:pPr>
              <w:tabs>
                <w:tab w:val="left" w:pos="720"/>
              </w:tabs>
              <w:jc w:val="both"/>
            </w:pPr>
            <w:r w:rsidRPr="00146B1E">
              <w:t xml:space="preserve">Единна бюджетна класификация </w:t>
            </w:r>
          </w:p>
        </w:tc>
      </w:tr>
      <w:tr w:rsidR="00FE12D3" w:rsidRPr="00782CED">
        <w:trPr>
          <w:jc w:val="center"/>
        </w:trPr>
        <w:tc>
          <w:tcPr>
            <w:tcW w:w="1978" w:type="dxa"/>
          </w:tcPr>
          <w:p w:rsidR="00FE12D3" w:rsidRPr="00146B1E" w:rsidRDefault="00FE12D3" w:rsidP="00A72272">
            <w:pPr>
              <w:tabs>
                <w:tab w:val="left" w:pos="720"/>
              </w:tabs>
              <w:jc w:val="both"/>
            </w:pPr>
            <w:r w:rsidRPr="00146B1E">
              <w:t>ОКИБ</w:t>
            </w:r>
          </w:p>
        </w:tc>
        <w:tc>
          <w:tcPr>
            <w:tcW w:w="7493" w:type="dxa"/>
          </w:tcPr>
          <w:p w:rsidR="00FE12D3" w:rsidRPr="00146B1E" w:rsidRDefault="00FE12D3" w:rsidP="00785A47">
            <w:pPr>
              <w:tabs>
                <w:tab w:val="left" w:pos="720"/>
              </w:tabs>
              <w:jc w:val="both"/>
            </w:pPr>
            <w:r w:rsidRPr="00146B1E">
              <w:t xml:space="preserve">Отчет за касовото изпълнение на бюджета </w:t>
            </w:r>
          </w:p>
        </w:tc>
      </w:tr>
      <w:tr w:rsidR="00FE12D3" w:rsidRPr="00782CED">
        <w:trPr>
          <w:jc w:val="center"/>
        </w:trPr>
        <w:tc>
          <w:tcPr>
            <w:tcW w:w="1978" w:type="dxa"/>
          </w:tcPr>
          <w:p w:rsidR="00FE12D3" w:rsidRPr="00146B1E" w:rsidRDefault="00FE12D3" w:rsidP="00A72272">
            <w:pPr>
              <w:tabs>
                <w:tab w:val="left" w:pos="720"/>
              </w:tabs>
              <w:jc w:val="both"/>
            </w:pPr>
            <w:r w:rsidRPr="00146B1E">
              <w:t>ИБСФ</w:t>
            </w:r>
          </w:p>
        </w:tc>
        <w:tc>
          <w:tcPr>
            <w:tcW w:w="7493" w:type="dxa"/>
          </w:tcPr>
          <w:p w:rsidR="00FE12D3" w:rsidRPr="00146B1E" w:rsidRDefault="00FE12D3" w:rsidP="00A72272">
            <w:pPr>
              <w:tabs>
                <w:tab w:val="left" w:pos="720"/>
              </w:tabs>
              <w:jc w:val="both"/>
            </w:pPr>
            <w:r w:rsidRPr="00146B1E">
              <w:t>Извънбюджетни сметки и фондове</w:t>
            </w:r>
          </w:p>
        </w:tc>
      </w:tr>
      <w:tr w:rsidR="00FE12D3" w:rsidRPr="00782CED">
        <w:trPr>
          <w:jc w:val="center"/>
        </w:trPr>
        <w:tc>
          <w:tcPr>
            <w:tcW w:w="1978" w:type="dxa"/>
          </w:tcPr>
          <w:p w:rsidR="00FE12D3" w:rsidRPr="00146B1E" w:rsidRDefault="00FE12D3" w:rsidP="00A72272">
            <w:pPr>
              <w:tabs>
                <w:tab w:val="left" w:pos="720"/>
              </w:tabs>
              <w:jc w:val="both"/>
            </w:pPr>
            <w:r w:rsidRPr="00146B1E">
              <w:t>МФ</w:t>
            </w:r>
          </w:p>
        </w:tc>
        <w:tc>
          <w:tcPr>
            <w:tcW w:w="7493" w:type="dxa"/>
          </w:tcPr>
          <w:p w:rsidR="00FE12D3" w:rsidRPr="00146B1E" w:rsidRDefault="00FE12D3" w:rsidP="00A72272">
            <w:pPr>
              <w:tabs>
                <w:tab w:val="left" w:pos="720"/>
              </w:tabs>
              <w:jc w:val="both"/>
            </w:pPr>
            <w:r w:rsidRPr="00146B1E">
              <w:t>Министерство на финансите</w:t>
            </w:r>
          </w:p>
        </w:tc>
      </w:tr>
      <w:tr w:rsidR="00FE12D3" w:rsidRPr="00782CED">
        <w:trPr>
          <w:jc w:val="center"/>
        </w:trPr>
        <w:tc>
          <w:tcPr>
            <w:tcW w:w="1978" w:type="dxa"/>
          </w:tcPr>
          <w:p w:rsidR="00FE12D3" w:rsidRPr="00146B1E" w:rsidRDefault="00FE12D3" w:rsidP="00A72272">
            <w:pPr>
              <w:tabs>
                <w:tab w:val="left" w:pos="720"/>
              </w:tabs>
              <w:jc w:val="both"/>
            </w:pPr>
            <w:r w:rsidRPr="00146B1E">
              <w:t>ГФО</w:t>
            </w:r>
          </w:p>
        </w:tc>
        <w:tc>
          <w:tcPr>
            <w:tcW w:w="7493" w:type="dxa"/>
          </w:tcPr>
          <w:p w:rsidR="00FE12D3" w:rsidRPr="00146B1E" w:rsidRDefault="00FE12D3" w:rsidP="00A72272">
            <w:pPr>
              <w:tabs>
                <w:tab w:val="left" w:pos="720"/>
              </w:tabs>
              <w:jc w:val="both"/>
            </w:pPr>
            <w:r w:rsidRPr="00146B1E">
              <w:t>Годишен финансов отчет</w:t>
            </w:r>
          </w:p>
        </w:tc>
      </w:tr>
      <w:tr w:rsidR="00FE12D3" w:rsidRPr="00782CED">
        <w:trPr>
          <w:jc w:val="center"/>
        </w:trPr>
        <w:tc>
          <w:tcPr>
            <w:tcW w:w="1978" w:type="dxa"/>
          </w:tcPr>
          <w:p w:rsidR="00FE12D3" w:rsidRPr="00146B1E" w:rsidRDefault="00FE12D3" w:rsidP="00A72272">
            <w:pPr>
              <w:tabs>
                <w:tab w:val="left" w:pos="720"/>
              </w:tabs>
              <w:jc w:val="both"/>
            </w:pPr>
            <w:r w:rsidRPr="00146B1E">
              <w:t>КСФ</w:t>
            </w:r>
          </w:p>
        </w:tc>
        <w:tc>
          <w:tcPr>
            <w:tcW w:w="7493" w:type="dxa"/>
          </w:tcPr>
          <w:p w:rsidR="00FE12D3" w:rsidRPr="00146B1E" w:rsidRDefault="00FE12D3" w:rsidP="00A72272">
            <w:pPr>
              <w:tabs>
                <w:tab w:val="left" w:pos="720"/>
              </w:tabs>
              <w:jc w:val="both"/>
            </w:pPr>
            <w:r w:rsidRPr="00146B1E">
              <w:t>Кохезионни и структурни фондове</w:t>
            </w:r>
          </w:p>
        </w:tc>
      </w:tr>
      <w:tr w:rsidR="00FE12D3" w:rsidRPr="00782CED">
        <w:trPr>
          <w:jc w:val="center"/>
        </w:trPr>
        <w:tc>
          <w:tcPr>
            <w:tcW w:w="1978" w:type="dxa"/>
          </w:tcPr>
          <w:p w:rsidR="00FE12D3" w:rsidRPr="00146B1E" w:rsidRDefault="00FE12D3" w:rsidP="00A72272">
            <w:pPr>
              <w:tabs>
                <w:tab w:val="left" w:pos="720"/>
              </w:tabs>
              <w:jc w:val="both"/>
            </w:pPr>
            <w:r w:rsidRPr="00146B1E">
              <w:t>МО</w:t>
            </w:r>
          </w:p>
        </w:tc>
        <w:tc>
          <w:tcPr>
            <w:tcW w:w="7493" w:type="dxa"/>
          </w:tcPr>
          <w:p w:rsidR="00FE12D3" w:rsidRPr="00146B1E" w:rsidRDefault="00FE12D3" w:rsidP="00A72272">
            <w:pPr>
              <w:tabs>
                <w:tab w:val="left" w:pos="720"/>
              </w:tabs>
              <w:jc w:val="both"/>
            </w:pPr>
            <w:r w:rsidRPr="00146B1E">
              <w:t>Мемориален ордер</w:t>
            </w:r>
          </w:p>
        </w:tc>
      </w:tr>
      <w:tr w:rsidR="00FE12D3" w:rsidRPr="00782CED">
        <w:trPr>
          <w:jc w:val="center"/>
        </w:trPr>
        <w:tc>
          <w:tcPr>
            <w:tcW w:w="1978" w:type="dxa"/>
          </w:tcPr>
          <w:p w:rsidR="00FE12D3" w:rsidRPr="00785A47" w:rsidRDefault="00FE12D3" w:rsidP="00A72272">
            <w:pPr>
              <w:tabs>
                <w:tab w:val="left" w:pos="720"/>
              </w:tabs>
              <w:jc w:val="both"/>
            </w:pPr>
            <w:r>
              <w:t>НФ</w:t>
            </w:r>
          </w:p>
        </w:tc>
        <w:tc>
          <w:tcPr>
            <w:tcW w:w="7493" w:type="dxa"/>
          </w:tcPr>
          <w:p w:rsidR="00FE12D3" w:rsidRPr="00146B1E" w:rsidRDefault="00FE12D3" w:rsidP="00A72272">
            <w:pPr>
              <w:tabs>
                <w:tab w:val="left" w:pos="720"/>
              </w:tabs>
              <w:jc w:val="both"/>
            </w:pPr>
            <w:r>
              <w:t>Национален фонд</w:t>
            </w:r>
          </w:p>
        </w:tc>
      </w:tr>
      <w:tr w:rsidR="00FE12D3" w:rsidRPr="00782CED">
        <w:trPr>
          <w:jc w:val="center"/>
        </w:trPr>
        <w:tc>
          <w:tcPr>
            <w:tcW w:w="1978" w:type="dxa"/>
          </w:tcPr>
          <w:p w:rsidR="00FE12D3" w:rsidRPr="00146B1E" w:rsidRDefault="00FE12D3" w:rsidP="00A72272">
            <w:pPr>
              <w:tabs>
                <w:tab w:val="left" w:pos="720"/>
              </w:tabs>
              <w:jc w:val="both"/>
            </w:pPr>
            <w:r w:rsidRPr="00146B1E">
              <w:t xml:space="preserve">ДМА </w:t>
            </w:r>
          </w:p>
        </w:tc>
        <w:tc>
          <w:tcPr>
            <w:tcW w:w="7493" w:type="dxa"/>
          </w:tcPr>
          <w:p w:rsidR="00FE12D3" w:rsidRPr="00146B1E" w:rsidRDefault="00FE12D3" w:rsidP="00A72272">
            <w:pPr>
              <w:tabs>
                <w:tab w:val="left" w:pos="720"/>
              </w:tabs>
              <w:jc w:val="both"/>
            </w:pPr>
            <w:r w:rsidRPr="00146B1E">
              <w:t>Дълготрайни материални активи</w:t>
            </w:r>
          </w:p>
        </w:tc>
      </w:tr>
    </w:tbl>
    <w:p w:rsidR="00FE12D3" w:rsidRDefault="00FE12D3" w:rsidP="00AD50CE">
      <w:pPr>
        <w:pStyle w:val="Heading1"/>
        <w:spacing w:before="0" w:after="0"/>
        <w:ind w:firstLine="0"/>
        <w:rPr>
          <w:b w:val="0"/>
          <w:bCs w:val="0"/>
        </w:rPr>
      </w:pPr>
      <w:r w:rsidRPr="00AD50CE">
        <w:rPr>
          <w:b w:val="0"/>
          <w:bCs w:val="0"/>
        </w:rPr>
        <w:t>СМРСтроително монтажни работи</w:t>
      </w:r>
    </w:p>
    <w:p w:rsidR="00FE12D3" w:rsidRDefault="00FE12D3" w:rsidP="00AD50CE">
      <w:pPr>
        <w:pStyle w:val="Heading1"/>
        <w:spacing w:before="0" w:after="0"/>
        <w:ind w:firstLine="0"/>
        <w:rPr>
          <w:b w:val="0"/>
          <w:bCs w:val="0"/>
        </w:rPr>
      </w:pPr>
      <w:r>
        <w:rPr>
          <w:b w:val="0"/>
          <w:bCs w:val="0"/>
        </w:rPr>
        <w:t>ЦДГ                          Целодневна детска градина</w:t>
      </w:r>
    </w:p>
    <w:p w:rsidR="00FE12D3" w:rsidRDefault="00FE12D3" w:rsidP="00AD50CE">
      <w:pPr>
        <w:pStyle w:val="Heading1"/>
        <w:spacing w:before="0" w:after="0"/>
        <w:ind w:firstLine="0"/>
        <w:rPr>
          <w:b w:val="0"/>
          <w:bCs w:val="0"/>
        </w:rPr>
      </w:pPr>
      <w:r>
        <w:rPr>
          <w:b w:val="0"/>
          <w:bCs w:val="0"/>
        </w:rPr>
        <w:t>ОДЗ                          Обединено детско заведение</w:t>
      </w:r>
    </w:p>
    <w:p w:rsidR="00FE12D3" w:rsidRDefault="00FE12D3" w:rsidP="00AD50CE">
      <w:pPr>
        <w:pStyle w:val="Heading1"/>
        <w:spacing w:before="0" w:after="0"/>
        <w:ind w:firstLine="0"/>
        <w:rPr>
          <w:b w:val="0"/>
          <w:bCs w:val="0"/>
        </w:rPr>
      </w:pPr>
      <w:r>
        <w:rPr>
          <w:b w:val="0"/>
          <w:bCs w:val="0"/>
        </w:rPr>
        <w:t>ДФ                            Държавен фонд „Земеделие“</w:t>
      </w:r>
    </w:p>
    <w:p w:rsidR="00FE12D3" w:rsidRPr="00B467FA" w:rsidRDefault="00FE12D3" w:rsidP="00AD50CE">
      <w:pPr>
        <w:pStyle w:val="Heading1"/>
        <w:spacing w:before="0" w:after="0"/>
        <w:ind w:firstLine="0"/>
      </w:pPr>
      <w:r>
        <w:rPr>
          <w:b w:val="0"/>
          <w:bCs w:val="0"/>
        </w:rPr>
        <w:t>ИРМ                         Изнесено работно място</w:t>
      </w:r>
      <w:r w:rsidRPr="00782CED">
        <w:br w:type="page"/>
      </w:r>
      <w:bookmarkStart w:id="0" w:name="_Toc381874291"/>
      <w:r w:rsidRPr="00B467FA">
        <w:t>Част първа</w:t>
      </w:r>
      <w:bookmarkEnd w:id="0"/>
    </w:p>
    <w:p w:rsidR="00FE12D3" w:rsidRDefault="00FE12D3" w:rsidP="0075313C">
      <w:pPr>
        <w:pStyle w:val="Heading2"/>
      </w:pPr>
      <w:bookmarkStart w:id="1" w:name="_Toc381874292"/>
      <w:r w:rsidRPr="00782CED">
        <w:t>І. ВЪВЕДЕНИЕ</w:t>
      </w:r>
      <w:bookmarkEnd w:id="1"/>
    </w:p>
    <w:p w:rsidR="00FE12D3" w:rsidRPr="004559EC" w:rsidRDefault="00FE12D3" w:rsidP="00A764F7">
      <w:pPr>
        <w:pStyle w:val="Heading3"/>
        <w:ind w:left="0" w:firstLine="709"/>
        <w:rPr>
          <w:b w:val="0"/>
          <w:bCs w:val="0"/>
        </w:rPr>
      </w:pPr>
      <w:bookmarkStart w:id="2" w:name="_Toc381874293"/>
      <w:r w:rsidRPr="004559EC">
        <w:rPr>
          <w:rStyle w:val="Heading3Char"/>
          <w:b/>
          <w:bCs/>
        </w:rPr>
        <w:t>Правно основание</w:t>
      </w:r>
      <w:r w:rsidRPr="004559EC">
        <w:rPr>
          <w:b w:val="0"/>
          <w:bCs w:val="0"/>
        </w:rPr>
        <w:t xml:space="preserve"> за извършване на одита</w:t>
      </w:r>
      <w:bookmarkEnd w:id="2"/>
    </w:p>
    <w:p w:rsidR="00FE12D3" w:rsidRPr="00782CED" w:rsidRDefault="00FE12D3" w:rsidP="00A764F7">
      <w:pPr>
        <w:tabs>
          <w:tab w:val="left" w:pos="993"/>
        </w:tabs>
        <w:ind w:left="-142" w:firstLine="851"/>
        <w:jc w:val="both"/>
      </w:pPr>
      <w:r w:rsidRPr="00782CED">
        <w:t>Одитът е из</w:t>
      </w:r>
      <w:r>
        <w:t>вършен</w:t>
      </w:r>
      <w:r w:rsidRPr="00782CED">
        <w:t xml:space="preserve"> на основание чл. 53 от Закона за Сметната палата,  Програмата за одитната дейност на Сметната пала</w:t>
      </w:r>
      <w:r>
        <w:t>та на Република България за 2013</w:t>
      </w:r>
      <w:r w:rsidRPr="00782CED">
        <w:t xml:space="preserve"> г. и в изпълнение на Заповед</w:t>
      </w:r>
      <w:r>
        <w:t>№ ОД-1-059 от 18.02.2014 г. във връзка със Заповед</w:t>
      </w:r>
      <w:r w:rsidRPr="00782CED">
        <w:t xml:space="preserve"> № </w:t>
      </w:r>
      <w:r>
        <w:t xml:space="preserve">ОД-1-530 от 16.12.2013 </w:t>
      </w:r>
      <w:r w:rsidRPr="00782CED">
        <w:t>г. на заместник-председателя на Сметната палата.</w:t>
      </w:r>
    </w:p>
    <w:p w:rsidR="00FE12D3" w:rsidRPr="00782CED" w:rsidRDefault="00FE12D3" w:rsidP="00A764F7">
      <w:pPr>
        <w:tabs>
          <w:tab w:val="left" w:pos="720"/>
        </w:tabs>
        <w:ind w:firstLine="720"/>
        <w:jc w:val="both"/>
        <w:rPr>
          <w:b/>
          <w:bCs/>
        </w:rPr>
      </w:pPr>
    </w:p>
    <w:p w:rsidR="00FE12D3" w:rsidRPr="00B467FA" w:rsidRDefault="00FE12D3" w:rsidP="00B467FA">
      <w:pPr>
        <w:pStyle w:val="Heading3"/>
        <w:ind w:firstLine="169"/>
      </w:pPr>
      <w:bookmarkStart w:id="3" w:name="_Toc381874294"/>
      <w:r w:rsidRPr="00B467FA">
        <w:t>Предмет на одита</w:t>
      </w:r>
      <w:bookmarkEnd w:id="3"/>
    </w:p>
    <w:p w:rsidR="00FE12D3" w:rsidRPr="00782CED" w:rsidRDefault="00FE12D3" w:rsidP="00A764F7">
      <w:pPr>
        <w:tabs>
          <w:tab w:val="left" w:pos="720"/>
        </w:tabs>
        <w:ind w:firstLine="720"/>
        <w:jc w:val="both"/>
      </w:pPr>
      <w:r w:rsidRPr="00782CED">
        <w:t xml:space="preserve">Предмет на одита е </w:t>
      </w:r>
      <w:r>
        <w:t>Г</w:t>
      </w:r>
      <w:r w:rsidRPr="00782CED">
        <w:t xml:space="preserve">одишният финансов отчет (ГФО) на </w:t>
      </w:r>
      <w:r>
        <w:t>община Горна Оряховица</w:t>
      </w:r>
      <w:r w:rsidRPr="00782CED">
        <w:t xml:space="preserve"> за 20</w:t>
      </w:r>
      <w:r>
        <w:t>13</w:t>
      </w:r>
      <w:r w:rsidRPr="00782CED">
        <w:t xml:space="preserve"> г.</w:t>
      </w:r>
    </w:p>
    <w:p w:rsidR="00FE12D3" w:rsidRPr="00A764F7" w:rsidRDefault="00FE12D3" w:rsidP="00A764F7"/>
    <w:p w:rsidR="00FE12D3" w:rsidRPr="00B467FA" w:rsidRDefault="00FE12D3" w:rsidP="005746C7">
      <w:pPr>
        <w:numPr>
          <w:ilvl w:val="0"/>
          <w:numId w:val="10"/>
        </w:numPr>
        <w:tabs>
          <w:tab w:val="left" w:pos="993"/>
        </w:tabs>
        <w:ind w:left="0" w:firstLine="709"/>
        <w:jc w:val="both"/>
        <w:rPr>
          <w:rStyle w:val="Heading3Char"/>
          <w:b w:val="0"/>
          <w:bCs w:val="0"/>
        </w:rPr>
      </w:pPr>
      <w:bookmarkStart w:id="4" w:name="_Toc381874295"/>
      <w:r>
        <w:rPr>
          <w:rStyle w:val="Heading3Char"/>
        </w:rPr>
        <w:t>Елементи на одитирания</w:t>
      </w:r>
      <w:r w:rsidRPr="00B467FA">
        <w:rPr>
          <w:rStyle w:val="Heading3Char"/>
        </w:rPr>
        <w:t xml:space="preserve"> годишен финансов отчет:</w:t>
      </w:r>
      <w:bookmarkEnd w:id="4"/>
    </w:p>
    <w:p w:rsidR="00FE12D3" w:rsidRPr="00782CED" w:rsidRDefault="00FE12D3" w:rsidP="00B467FA">
      <w:pPr>
        <w:tabs>
          <w:tab w:val="left" w:pos="993"/>
        </w:tabs>
        <w:ind w:firstLine="709"/>
        <w:jc w:val="both"/>
      </w:pPr>
      <w:r w:rsidRPr="00B467FA">
        <w:t>Финансовият одит се</w:t>
      </w:r>
      <w:r w:rsidRPr="00782CED">
        <w:t xml:space="preserve"> изв</w:t>
      </w:r>
      <w:r>
        <w:t>ърши на годишния финансов отчет</w:t>
      </w:r>
      <w:r w:rsidRPr="00782CED">
        <w:t>, който включва:</w:t>
      </w:r>
    </w:p>
    <w:p w:rsidR="00FE12D3" w:rsidRPr="00782CED" w:rsidRDefault="00FE12D3" w:rsidP="005746C7">
      <w:pPr>
        <w:numPr>
          <w:ilvl w:val="1"/>
          <w:numId w:val="10"/>
        </w:numPr>
        <w:tabs>
          <w:tab w:val="left" w:pos="1276"/>
        </w:tabs>
        <w:ind w:left="0" w:firstLine="709"/>
        <w:jc w:val="both"/>
      </w:pPr>
      <w:r>
        <w:t>Баланс към 31.12.2013</w:t>
      </w:r>
      <w:r w:rsidRPr="00782CED">
        <w:t xml:space="preserve"> г.</w:t>
      </w:r>
    </w:p>
    <w:p w:rsidR="00FE12D3" w:rsidRPr="00782CED" w:rsidRDefault="00FE12D3" w:rsidP="00782CED">
      <w:pPr>
        <w:numPr>
          <w:ilvl w:val="1"/>
          <w:numId w:val="10"/>
        </w:numPr>
        <w:tabs>
          <w:tab w:val="left" w:pos="1276"/>
        </w:tabs>
        <w:ind w:left="0" w:firstLine="709"/>
        <w:jc w:val="both"/>
      </w:pPr>
      <w:r w:rsidRPr="00782CED">
        <w:t>Годишните отчети за касовото изпълнение на бюджета и извънбюджетните сметки и фондове</w:t>
      </w:r>
      <w:r>
        <w:t xml:space="preserve"> за периода от 01.01.2013 г. до 31.12.2013</w:t>
      </w:r>
      <w:r w:rsidRPr="00782CED">
        <w:t xml:space="preserve"> г., в т.ч.:</w:t>
      </w:r>
    </w:p>
    <w:p w:rsidR="00FE12D3" w:rsidRPr="00782CED" w:rsidRDefault="00FE12D3" w:rsidP="00466F4F">
      <w:pPr>
        <w:pStyle w:val="ListParagraph"/>
        <w:numPr>
          <w:ilvl w:val="0"/>
          <w:numId w:val="25"/>
        </w:numPr>
        <w:tabs>
          <w:tab w:val="left" w:pos="142"/>
          <w:tab w:val="left" w:pos="709"/>
          <w:tab w:val="left" w:pos="993"/>
        </w:tabs>
        <w:ind w:left="0" w:firstLine="709"/>
        <w:jc w:val="both"/>
      </w:pPr>
      <w:r w:rsidRPr="00782CED">
        <w:t>Отчет за касовото изпълнение на бюджета (Б-3);</w:t>
      </w:r>
    </w:p>
    <w:p w:rsidR="00FE12D3" w:rsidRPr="00782CED" w:rsidRDefault="00FE12D3" w:rsidP="00466F4F">
      <w:pPr>
        <w:pStyle w:val="ListParagraph"/>
        <w:numPr>
          <w:ilvl w:val="0"/>
          <w:numId w:val="25"/>
        </w:numPr>
        <w:tabs>
          <w:tab w:val="left" w:pos="142"/>
          <w:tab w:val="left" w:pos="993"/>
          <w:tab w:val="left" w:pos="1276"/>
        </w:tabs>
        <w:ind w:left="0" w:firstLine="709"/>
        <w:jc w:val="both"/>
      </w:pPr>
      <w:r w:rsidRPr="00782CED">
        <w:t>Отчет за касовото изпълнение на извънбюджетните сметки и фондове        (ИБСФ -3);</w:t>
      </w:r>
    </w:p>
    <w:p w:rsidR="00FE12D3" w:rsidRPr="00782CED" w:rsidRDefault="00FE12D3" w:rsidP="00466F4F">
      <w:pPr>
        <w:pStyle w:val="ListParagraph"/>
        <w:numPr>
          <w:ilvl w:val="0"/>
          <w:numId w:val="25"/>
        </w:numPr>
        <w:tabs>
          <w:tab w:val="left" w:pos="142"/>
          <w:tab w:val="left" w:pos="993"/>
          <w:tab w:val="left" w:pos="1276"/>
        </w:tabs>
        <w:ind w:left="0" w:firstLine="709"/>
        <w:jc w:val="both"/>
      </w:pPr>
      <w:r w:rsidRPr="00782CED">
        <w:t>Отчет за касовото изпълнение на операциите и наличностите по сметките за чужди средства (ИБСФ -3 с код 33) ;</w:t>
      </w:r>
    </w:p>
    <w:p w:rsidR="00FE12D3" w:rsidRPr="00782CED" w:rsidRDefault="00FE12D3" w:rsidP="00466F4F">
      <w:pPr>
        <w:pStyle w:val="ListParagraph"/>
        <w:numPr>
          <w:ilvl w:val="0"/>
          <w:numId w:val="25"/>
        </w:numPr>
        <w:tabs>
          <w:tab w:val="left" w:pos="142"/>
          <w:tab w:val="left" w:pos="993"/>
          <w:tab w:val="left" w:pos="1276"/>
        </w:tabs>
        <w:ind w:left="0" w:firstLine="709"/>
        <w:jc w:val="both"/>
      </w:pPr>
      <w:r w:rsidRPr="00782CED">
        <w:t>Отчет за извънбюджетните сметки на бенефициенти на Кохезионния и Структурните фондове към Националния фонд (ИБСФ -3 - КСФ);</w:t>
      </w:r>
    </w:p>
    <w:p w:rsidR="00FE12D3" w:rsidRPr="00782CED" w:rsidRDefault="00FE12D3" w:rsidP="00466F4F">
      <w:pPr>
        <w:pStyle w:val="ListParagraph"/>
        <w:numPr>
          <w:ilvl w:val="0"/>
          <w:numId w:val="25"/>
        </w:numPr>
        <w:tabs>
          <w:tab w:val="left" w:pos="142"/>
          <w:tab w:val="left" w:pos="993"/>
          <w:tab w:val="left" w:pos="1276"/>
        </w:tabs>
        <w:ind w:left="0" w:firstLine="709"/>
        <w:jc w:val="both"/>
      </w:pPr>
      <w:r w:rsidRPr="00782CED">
        <w:t>Отчет за извънбюджетните сметки на бенефициенти на Разплащателната агенция към ДФ „Земеделие“ (ИБСФ-3);</w:t>
      </w:r>
    </w:p>
    <w:p w:rsidR="00FE12D3" w:rsidRPr="00782CED" w:rsidRDefault="00FE12D3" w:rsidP="00466F4F">
      <w:pPr>
        <w:pStyle w:val="ListParagraph"/>
        <w:numPr>
          <w:ilvl w:val="0"/>
          <w:numId w:val="25"/>
        </w:numPr>
        <w:tabs>
          <w:tab w:val="left" w:pos="142"/>
          <w:tab w:val="left" w:pos="993"/>
          <w:tab w:val="left" w:pos="1276"/>
        </w:tabs>
        <w:ind w:left="0" w:firstLine="709"/>
        <w:jc w:val="both"/>
      </w:pPr>
      <w:r w:rsidRPr="00782CED">
        <w:t>др. отчетни форми, съгласно указания на МФ.</w:t>
      </w:r>
    </w:p>
    <w:p w:rsidR="00FE12D3" w:rsidRPr="00B60332" w:rsidRDefault="00FE12D3" w:rsidP="00433349">
      <w:pPr>
        <w:numPr>
          <w:ilvl w:val="1"/>
          <w:numId w:val="10"/>
        </w:numPr>
        <w:tabs>
          <w:tab w:val="left" w:pos="1276"/>
        </w:tabs>
        <w:ind w:left="0" w:firstLine="720"/>
        <w:jc w:val="both"/>
      </w:pPr>
      <w:r w:rsidRPr="00782CED">
        <w:t>Приложени</w:t>
      </w:r>
      <w:r>
        <w:t>е към ГФО за 2013</w:t>
      </w:r>
      <w:r w:rsidRPr="00782CED">
        <w:t xml:space="preserve"> г., което съдържа обяснителна записка за изпълнението на бюджета и извънбюджетните сметки и фондове, прилаганата счетоводна политика, информация за състоянието и изменението на активи, пасиви, приходи и разходи, както и </w:t>
      </w:r>
      <w:r w:rsidRPr="00B60332">
        <w:t xml:space="preserve">съответните справки, разшифровки и друга финансова и нефинансова информация, съгласно указанията на министерство на финансите (МФ) </w:t>
      </w:r>
    </w:p>
    <w:p w:rsidR="00FE12D3" w:rsidRPr="00782CED" w:rsidRDefault="00FE12D3" w:rsidP="001B2288">
      <w:pPr>
        <w:tabs>
          <w:tab w:val="left" w:pos="1276"/>
        </w:tabs>
        <w:jc w:val="both"/>
      </w:pPr>
    </w:p>
    <w:p w:rsidR="00FE12D3" w:rsidRPr="00782CED" w:rsidRDefault="00FE12D3" w:rsidP="00B467FA">
      <w:pPr>
        <w:pStyle w:val="Heading3"/>
        <w:numPr>
          <w:ilvl w:val="0"/>
          <w:numId w:val="24"/>
        </w:numPr>
        <w:ind w:left="0" w:firstLine="709"/>
      </w:pPr>
      <w:bookmarkStart w:id="5" w:name="_Toc381874296"/>
      <w:r w:rsidRPr="00B467FA">
        <w:t>О</w:t>
      </w:r>
      <w:r w:rsidRPr="00782CED">
        <w:t>бхват</w:t>
      </w:r>
      <w:bookmarkEnd w:id="5"/>
    </w:p>
    <w:p w:rsidR="00FE12D3" w:rsidRDefault="00FE12D3" w:rsidP="00433349">
      <w:pPr>
        <w:ind w:firstLine="720"/>
        <w:jc w:val="both"/>
      </w:pPr>
      <w:r w:rsidRPr="00782CED">
        <w:t>Основните области, които са обхванати при изпълнение на одитната задача са:</w:t>
      </w:r>
    </w:p>
    <w:p w:rsidR="00FE12D3" w:rsidRPr="00B467FA" w:rsidRDefault="00FE12D3" w:rsidP="00B467FA">
      <w:pPr>
        <w:pStyle w:val="ListParagraph"/>
        <w:numPr>
          <w:ilvl w:val="0"/>
          <w:numId w:val="10"/>
        </w:numPr>
        <w:tabs>
          <w:tab w:val="left" w:pos="993"/>
          <w:tab w:val="left" w:pos="1276"/>
        </w:tabs>
        <w:jc w:val="both"/>
        <w:rPr>
          <w:vanish/>
        </w:rPr>
      </w:pPr>
    </w:p>
    <w:p w:rsidR="00FE12D3" w:rsidRPr="005C41E6" w:rsidRDefault="00FE12D3" w:rsidP="00B467FA">
      <w:pPr>
        <w:pStyle w:val="BodyText"/>
        <w:numPr>
          <w:ilvl w:val="1"/>
          <w:numId w:val="10"/>
        </w:numPr>
        <w:tabs>
          <w:tab w:val="left" w:pos="1276"/>
        </w:tabs>
        <w:spacing w:after="0"/>
        <w:ind w:left="0" w:firstLine="709"/>
        <w:jc w:val="both"/>
      </w:pPr>
      <w:r w:rsidRPr="005C41E6">
        <w:t>Проверка на годишния отчет за касовото изпълнение на бюджета и извънбюджетните сметки и фондове относно:</w:t>
      </w:r>
    </w:p>
    <w:p w:rsidR="00FE12D3" w:rsidRPr="00782CED" w:rsidRDefault="00FE12D3" w:rsidP="006E1B60">
      <w:pPr>
        <w:pStyle w:val="BodyText"/>
        <w:numPr>
          <w:ilvl w:val="0"/>
          <w:numId w:val="13"/>
        </w:numPr>
        <w:tabs>
          <w:tab w:val="left" w:pos="993"/>
        </w:tabs>
        <w:spacing w:after="0"/>
        <w:ind w:left="0" w:firstLine="709"/>
        <w:jc w:val="both"/>
      </w:pPr>
      <w:r w:rsidRPr="00782CED">
        <w:t xml:space="preserve">съответствие на формата, съдържанието и представянето на отчета с приложимите изисквания; </w:t>
      </w:r>
    </w:p>
    <w:p w:rsidR="00FE12D3" w:rsidRPr="00782CED" w:rsidRDefault="00FE12D3" w:rsidP="006E1B60">
      <w:pPr>
        <w:pStyle w:val="BodyText"/>
        <w:numPr>
          <w:ilvl w:val="0"/>
          <w:numId w:val="13"/>
        </w:numPr>
        <w:tabs>
          <w:tab w:val="left" w:pos="993"/>
        </w:tabs>
        <w:spacing w:after="0"/>
        <w:ind w:left="0" w:firstLine="709"/>
        <w:jc w:val="both"/>
      </w:pPr>
      <w:r w:rsidRPr="00782CED">
        <w:t>вярно и честно представяне на информация</w:t>
      </w:r>
      <w:r>
        <w:t>та</w:t>
      </w:r>
      <w:r w:rsidRPr="00782CED">
        <w:t xml:space="preserve"> в отчета, в съответствие с приложимата рамка за финансово отчитане;</w:t>
      </w:r>
    </w:p>
    <w:p w:rsidR="00FE12D3" w:rsidRPr="00782CED" w:rsidRDefault="00FE12D3" w:rsidP="006E1B60">
      <w:pPr>
        <w:pStyle w:val="BodyText"/>
        <w:numPr>
          <w:ilvl w:val="0"/>
          <w:numId w:val="13"/>
        </w:numPr>
        <w:tabs>
          <w:tab w:val="left" w:pos="993"/>
        </w:tabs>
        <w:spacing w:after="0"/>
        <w:ind w:left="0" w:firstLine="709"/>
        <w:jc w:val="both"/>
      </w:pPr>
      <w:r w:rsidRPr="00782CED">
        <w:t>взаимовръзка между счетоводни сметки от СБ</w:t>
      </w:r>
      <w:r>
        <w:t>П</w:t>
      </w:r>
      <w:r w:rsidRPr="00782CED">
        <w:t xml:space="preserve"> и параграфи от ЕБК за одитираната година.</w:t>
      </w:r>
    </w:p>
    <w:p w:rsidR="00FE12D3" w:rsidRPr="00782CED" w:rsidRDefault="00FE12D3" w:rsidP="009D483A">
      <w:pPr>
        <w:pStyle w:val="BodyText"/>
        <w:tabs>
          <w:tab w:val="left" w:pos="993"/>
        </w:tabs>
        <w:spacing w:after="0"/>
        <w:ind w:left="709"/>
        <w:jc w:val="both"/>
      </w:pPr>
    </w:p>
    <w:p w:rsidR="00FE12D3" w:rsidRPr="00782CED" w:rsidRDefault="00FE12D3" w:rsidP="00B467FA">
      <w:pPr>
        <w:pStyle w:val="BodyText"/>
        <w:numPr>
          <w:ilvl w:val="1"/>
          <w:numId w:val="10"/>
        </w:numPr>
        <w:tabs>
          <w:tab w:val="left" w:pos="993"/>
          <w:tab w:val="left" w:pos="1276"/>
        </w:tabs>
        <w:spacing w:after="0"/>
        <w:ind w:left="0" w:firstLine="709"/>
        <w:jc w:val="both"/>
      </w:pPr>
      <w:r w:rsidRPr="005C41E6">
        <w:t>Проверка на баланса към 31 декември относно</w:t>
      </w:r>
      <w:r w:rsidRPr="00782CED">
        <w:rPr>
          <w:i/>
          <w:iCs/>
        </w:rPr>
        <w:t>:</w:t>
      </w:r>
    </w:p>
    <w:p w:rsidR="00FE12D3" w:rsidRPr="00782CED" w:rsidRDefault="00FE12D3" w:rsidP="006E1B60">
      <w:pPr>
        <w:pStyle w:val="BodyText"/>
        <w:numPr>
          <w:ilvl w:val="0"/>
          <w:numId w:val="13"/>
        </w:numPr>
        <w:tabs>
          <w:tab w:val="left" w:pos="993"/>
        </w:tabs>
        <w:spacing w:after="0"/>
        <w:ind w:left="0" w:firstLine="709"/>
        <w:jc w:val="both"/>
      </w:pPr>
      <w:r w:rsidRPr="00782CED">
        <w:t xml:space="preserve">съответствие на отразените в баланса стопански, финансови и счетоводни операции с приложимата рамка за финансово отчитане; </w:t>
      </w:r>
    </w:p>
    <w:p w:rsidR="00FE12D3" w:rsidRPr="00782CED" w:rsidRDefault="00FE12D3" w:rsidP="006E1B60">
      <w:pPr>
        <w:pStyle w:val="BodyText"/>
        <w:numPr>
          <w:ilvl w:val="0"/>
          <w:numId w:val="13"/>
        </w:numPr>
        <w:tabs>
          <w:tab w:val="left" w:pos="993"/>
        </w:tabs>
        <w:spacing w:after="0"/>
        <w:ind w:left="0" w:firstLine="709"/>
        <w:jc w:val="both"/>
      </w:pPr>
      <w:r w:rsidRPr="00782CED">
        <w:t>вярно и честно представяне на финансовото състояние и имуществото на одитираната организация;</w:t>
      </w:r>
    </w:p>
    <w:p w:rsidR="00FE12D3" w:rsidRPr="00782CED" w:rsidRDefault="00FE12D3" w:rsidP="006E1B60">
      <w:pPr>
        <w:pStyle w:val="BodyText"/>
        <w:numPr>
          <w:ilvl w:val="0"/>
          <w:numId w:val="13"/>
        </w:numPr>
        <w:tabs>
          <w:tab w:val="left" w:pos="993"/>
        </w:tabs>
        <w:spacing w:after="0"/>
        <w:ind w:left="0" w:firstLine="709"/>
        <w:jc w:val="both"/>
      </w:pPr>
      <w:r>
        <w:t xml:space="preserve">последователност </w:t>
      </w:r>
      <w:r w:rsidRPr="00782CED">
        <w:t>при прилаганата счетоводна политика и индивидуален сметкоплан;</w:t>
      </w:r>
    </w:p>
    <w:p w:rsidR="00FE12D3" w:rsidRPr="00782CED" w:rsidRDefault="00FE12D3" w:rsidP="006E1B60">
      <w:pPr>
        <w:pStyle w:val="BodyText"/>
        <w:numPr>
          <w:ilvl w:val="0"/>
          <w:numId w:val="13"/>
        </w:numPr>
        <w:tabs>
          <w:tab w:val="left" w:pos="993"/>
        </w:tabs>
        <w:spacing w:after="0"/>
        <w:ind w:left="0" w:firstLine="709"/>
        <w:jc w:val="both"/>
      </w:pPr>
      <w:r w:rsidRPr="00782CED">
        <w:t>съответствие на извършената годишна инвентаризаци</w:t>
      </w:r>
      <w:r>
        <w:t>я</w:t>
      </w:r>
      <w:r w:rsidRPr="00782CED">
        <w:t xml:space="preserve"> на активите и пасивите и осчетоводяването на резултатите от </w:t>
      </w:r>
      <w:r>
        <w:t xml:space="preserve">неяв съответствие </w:t>
      </w:r>
      <w:r w:rsidRPr="00782CED">
        <w:t>с действащото счетоводно законодателство и вътрешни актове на одитираната организация;</w:t>
      </w:r>
    </w:p>
    <w:p w:rsidR="00FE12D3" w:rsidRPr="00782CED" w:rsidRDefault="00FE12D3" w:rsidP="006E1B60">
      <w:pPr>
        <w:pStyle w:val="BodyText"/>
        <w:numPr>
          <w:ilvl w:val="0"/>
          <w:numId w:val="13"/>
        </w:numPr>
        <w:tabs>
          <w:tab w:val="left" w:pos="993"/>
        </w:tabs>
        <w:spacing w:after="0"/>
        <w:ind w:left="0" w:firstLine="709"/>
        <w:jc w:val="both"/>
      </w:pPr>
      <w:r w:rsidRPr="00782CED">
        <w:t>съответствие на формата, съдържанието, изготвянето и представянето на годишния баланс и приложенията към него с нормативните изисквания.</w:t>
      </w:r>
    </w:p>
    <w:p w:rsidR="00FE12D3" w:rsidRPr="00782CED" w:rsidRDefault="00FE12D3" w:rsidP="009D483A">
      <w:pPr>
        <w:pStyle w:val="BodyText"/>
        <w:tabs>
          <w:tab w:val="left" w:pos="993"/>
        </w:tabs>
        <w:spacing w:after="0"/>
        <w:ind w:left="709"/>
        <w:jc w:val="both"/>
      </w:pPr>
    </w:p>
    <w:p w:rsidR="00FE12D3" w:rsidRPr="00782CED" w:rsidRDefault="00FE12D3" w:rsidP="00B467FA">
      <w:pPr>
        <w:pStyle w:val="BodyText"/>
        <w:numPr>
          <w:ilvl w:val="1"/>
          <w:numId w:val="10"/>
        </w:numPr>
        <w:tabs>
          <w:tab w:val="left" w:pos="993"/>
          <w:tab w:val="left" w:pos="1276"/>
        </w:tabs>
        <w:spacing w:after="0"/>
        <w:ind w:left="0" w:firstLine="709"/>
        <w:jc w:val="both"/>
      </w:pPr>
      <w:r w:rsidRPr="00782CED">
        <w:t xml:space="preserve">Проверка на приложенията към Годишния финансов отчет </w:t>
      </w:r>
    </w:p>
    <w:p w:rsidR="00FE12D3" w:rsidRPr="00782CED" w:rsidRDefault="00FE12D3" w:rsidP="009D483A">
      <w:pPr>
        <w:pStyle w:val="BodyText"/>
        <w:tabs>
          <w:tab w:val="left" w:pos="993"/>
        </w:tabs>
        <w:spacing w:after="0"/>
        <w:ind w:firstLine="709"/>
        <w:jc w:val="both"/>
      </w:pPr>
      <w:r w:rsidRPr="00782CED">
        <w:t>Приложенията към ГФО (обяснителна записка, информация за състоянието и изменението на основните активи, пасиви, приходи и разходи) са проверени относно съответствието на включената в тях информация със съдържанието на баланса, оборотната ведомост и други източници на информация, както и с приложимата рамка за финансово отчитане.</w:t>
      </w:r>
    </w:p>
    <w:p w:rsidR="00FE12D3" w:rsidRPr="00782CED" w:rsidRDefault="00FE12D3" w:rsidP="006E1B60">
      <w:pPr>
        <w:pStyle w:val="BodyTextIndent2"/>
        <w:spacing w:after="0" w:line="240" w:lineRule="auto"/>
        <w:ind w:left="0" w:firstLine="709"/>
        <w:jc w:val="both"/>
      </w:pPr>
    </w:p>
    <w:p w:rsidR="00FE12D3" w:rsidRPr="00782CED" w:rsidRDefault="00FE12D3" w:rsidP="00B467FA">
      <w:pPr>
        <w:pStyle w:val="BodyText"/>
        <w:numPr>
          <w:ilvl w:val="1"/>
          <w:numId w:val="10"/>
        </w:numPr>
        <w:tabs>
          <w:tab w:val="left" w:pos="993"/>
          <w:tab w:val="left" w:pos="1276"/>
        </w:tabs>
        <w:spacing w:after="0"/>
        <w:ind w:left="0" w:firstLine="709"/>
        <w:jc w:val="both"/>
      </w:pPr>
      <w:r w:rsidRPr="00782CED">
        <w:t>Системата за вътрешен контрол в одитираната организация</w:t>
      </w:r>
    </w:p>
    <w:p w:rsidR="00FE12D3" w:rsidRPr="00782CED" w:rsidRDefault="00FE12D3" w:rsidP="009D483A">
      <w:pPr>
        <w:pStyle w:val="BodyTextIndent2"/>
        <w:spacing w:after="0" w:line="240" w:lineRule="auto"/>
        <w:ind w:left="0" w:firstLine="708"/>
        <w:jc w:val="both"/>
      </w:pPr>
      <w:r w:rsidRPr="00782CED">
        <w:t>Системата за вътрешен контрол е оценена от гледна точка на способността й да осигури изготвянето на финансов отчет, който не съдържа съществени отклонения, независимо дали те се дължат на измама или грешка.</w:t>
      </w:r>
    </w:p>
    <w:p w:rsidR="00FE12D3" w:rsidRPr="00782CED" w:rsidRDefault="00FE12D3" w:rsidP="00433349">
      <w:pPr>
        <w:ind w:firstLine="720"/>
        <w:jc w:val="both"/>
      </w:pPr>
    </w:p>
    <w:p w:rsidR="00FE12D3" w:rsidRPr="00B467FA" w:rsidRDefault="00FE12D3" w:rsidP="00B467FA">
      <w:pPr>
        <w:pStyle w:val="Heading3"/>
        <w:ind w:firstLine="169"/>
      </w:pPr>
      <w:bookmarkStart w:id="6" w:name="_Toc381874297"/>
      <w:r w:rsidRPr="00B467FA">
        <w:t>Основни финансови параметри на одитираниягодишен финансов отчет.</w:t>
      </w:r>
      <w:bookmarkEnd w:id="6"/>
    </w:p>
    <w:p w:rsidR="00FE12D3" w:rsidRPr="00782CED" w:rsidRDefault="00FE12D3" w:rsidP="00AB0736">
      <w:pPr>
        <w:tabs>
          <w:tab w:val="left" w:pos="993"/>
        </w:tabs>
        <w:ind w:left="709"/>
        <w:jc w:val="both"/>
      </w:pPr>
    </w:p>
    <w:tbl>
      <w:tblPr>
        <w:tblW w:w="96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540"/>
        <w:gridCol w:w="6798"/>
        <w:gridCol w:w="2310"/>
      </w:tblGrid>
      <w:tr w:rsidR="00FE12D3" w:rsidRPr="004F4B58">
        <w:trPr>
          <w:trHeight w:val="255"/>
        </w:trPr>
        <w:tc>
          <w:tcPr>
            <w:tcW w:w="540" w:type="dxa"/>
            <w:tcBorders>
              <w:top w:val="double" w:sz="4" w:space="0" w:color="auto"/>
              <w:bottom w:val="double" w:sz="4" w:space="0" w:color="auto"/>
              <w:right w:val="double" w:sz="4" w:space="0" w:color="auto"/>
            </w:tcBorders>
            <w:shd w:val="clear" w:color="auto" w:fill="EAF1DD"/>
            <w:noWrap/>
            <w:vAlign w:val="center"/>
          </w:tcPr>
          <w:p w:rsidR="00FE12D3" w:rsidRPr="004F4B58" w:rsidRDefault="00FE12D3" w:rsidP="004A1224">
            <w:pPr>
              <w:jc w:val="center"/>
              <w:rPr>
                <w:b/>
                <w:bCs/>
              </w:rPr>
            </w:pPr>
            <w:r w:rsidRPr="004F4B58">
              <w:rPr>
                <w:b/>
                <w:bCs/>
              </w:rPr>
              <w:t>№</w:t>
            </w:r>
          </w:p>
        </w:tc>
        <w:tc>
          <w:tcPr>
            <w:tcW w:w="6798" w:type="dxa"/>
            <w:tcBorders>
              <w:top w:val="double" w:sz="4" w:space="0" w:color="auto"/>
              <w:left w:val="double" w:sz="4" w:space="0" w:color="auto"/>
              <w:bottom w:val="double" w:sz="4" w:space="0" w:color="auto"/>
              <w:right w:val="double" w:sz="4" w:space="0" w:color="auto"/>
            </w:tcBorders>
            <w:shd w:val="clear" w:color="auto" w:fill="EAF1DD"/>
            <w:noWrap/>
            <w:vAlign w:val="center"/>
          </w:tcPr>
          <w:p w:rsidR="00FE12D3" w:rsidRPr="004F4B58" w:rsidRDefault="00FE12D3" w:rsidP="004A1224">
            <w:pPr>
              <w:ind w:firstLine="10"/>
              <w:jc w:val="center"/>
              <w:rPr>
                <w:b/>
                <w:bCs/>
              </w:rPr>
            </w:pPr>
            <w:r>
              <w:rPr>
                <w:b/>
                <w:bCs/>
              </w:rPr>
              <w:t>Показател</w:t>
            </w:r>
          </w:p>
        </w:tc>
        <w:tc>
          <w:tcPr>
            <w:tcW w:w="2310" w:type="dxa"/>
            <w:tcBorders>
              <w:top w:val="double" w:sz="4" w:space="0" w:color="auto"/>
              <w:left w:val="double" w:sz="4" w:space="0" w:color="auto"/>
              <w:bottom w:val="double" w:sz="4" w:space="0" w:color="auto"/>
            </w:tcBorders>
            <w:shd w:val="clear" w:color="auto" w:fill="EAF1DD"/>
            <w:vAlign w:val="center"/>
          </w:tcPr>
          <w:p w:rsidR="00FE12D3" w:rsidRPr="004F4B58" w:rsidRDefault="00FE12D3" w:rsidP="004A1224">
            <w:pPr>
              <w:ind w:firstLine="2"/>
              <w:jc w:val="center"/>
              <w:rPr>
                <w:b/>
                <w:bCs/>
              </w:rPr>
            </w:pPr>
            <w:r>
              <w:rPr>
                <w:b/>
                <w:bCs/>
              </w:rPr>
              <w:t>Сума</w:t>
            </w:r>
          </w:p>
        </w:tc>
      </w:tr>
      <w:tr w:rsidR="00FE12D3" w:rsidRPr="00ED48BC">
        <w:trPr>
          <w:trHeight w:val="255"/>
        </w:trPr>
        <w:tc>
          <w:tcPr>
            <w:tcW w:w="540" w:type="dxa"/>
            <w:tcBorders>
              <w:top w:val="double" w:sz="4" w:space="0" w:color="auto"/>
            </w:tcBorders>
            <w:noWrap/>
          </w:tcPr>
          <w:p w:rsidR="00FE12D3" w:rsidRPr="00ED48BC" w:rsidRDefault="00FE12D3" w:rsidP="004A1224">
            <w:pPr>
              <w:jc w:val="center"/>
            </w:pPr>
            <w:r w:rsidRPr="00ED48BC">
              <w:t>1</w:t>
            </w:r>
            <w:r>
              <w:t>.</w:t>
            </w:r>
          </w:p>
        </w:tc>
        <w:tc>
          <w:tcPr>
            <w:tcW w:w="6798" w:type="dxa"/>
            <w:tcBorders>
              <w:top w:val="double" w:sz="4" w:space="0" w:color="auto"/>
            </w:tcBorders>
            <w:noWrap/>
          </w:tcPr>
          <w:p w:rsidR="00FE12D3" w:rsidRPr="00ED48BC" w:rsidRDefault="00FE12D3" w:rsidP="004A1224">
            <w:pPr>
              <w:ind w:firstLine="10"/>
            </w:pPr>
            <w:r>
              <w:t>Актив/Пасив на баланса</w:t>
            </w:r>
          </w:p>
        </w:tc>
        <w:tc>
          <w:tcPr>
            <w:tcW w:w="2310" w:type="dxa"/>
            <w:tcBorders>
              <w:top w:val="double" w:sz="4" w:space="0" w:color="auto"/>
            </w:tcBorders>
            <w:vAlign w:val="bottom"/>
          </w:tcPr>
          <w:p w:rsidR="00FE12D3" w:rsidRDefault="00FE12D3" w:rsidP="00FB01C2">
            <w:pPr>
              <w:jc w:val="center"/>
              <w:rPr>
                <w:rFonts w:ascii="Times New Roman CYR" w:hAnsi="Times New Roman CYR" w:cs="Times New Roman CYR"/>
                <w:b/>
                <w:bCs/>
              </w:rPr>
            </w:pPr>
            <w:r>
              <w:rPr>
                <w:rFonts w:ascii="Times New Roman CYR" w:hAnsi="Times New Roman CYR" w:cs="Times New Roman CYR"/>
                <w:b/>
                <w:bCs/>
              </w:rPr>
              <w:t>62 814 166,55</w:t>
            </w:r>
          </w:p>
          <w:p w:rsidR="00FE12D3" w:rsidRPr="00ED48BC" w:rsidRDefault="00FE12D3" w:rsidP="004A1224">
            <w:pPr>
              <w:ind w:firstLine="2"/>
              <w:jc w:val="center"/>
            </w:pPr>
          </w:p>
        </w:tc>
      </w:tr>
      <w:tr w:rsidR="00FE12D3" w:rsidRPr="00ED48BC">
        <w:trPr>
          <w:trHeight w:val="255"/>
        </w:trPr>
        <w:tc>
          <w:tcPr>
            <w:tcW w:w="540" w:type="dxa"/>
            <w:noWrap/>
          </w:tcPr>
          <w:p w:rsidR="00FE12D3" w:rsidRPr="00ED48BC" w:rsidRDefault="00FE12D3" w:rsidP="004A1224">
            <w:pPr>
              <w:jc w:val="center"/>
            </w:pPr>
            <w:r w:rsidRPr="00ED48BC">
              <w:t>2</w:t>
            </w:r>
            <w:r>
              <w:t>.</w:t>
            </w:r>
          </w:p>
        </w:tc>
        <w:tc>
          <w:tcPr>
            <w:tcW w:w="6798" w:type="dxa"/>
            <w:noWrap/>
          </w:tcPr>
          <w:p w:rsidR="00FE12D3" w:rsidRPr="00ED48BC" w:rsidRDefault="00FE12D3" w:rsidP="004A1224">
            <w:pPr>
              <w:ind w:firstLine="10"/>
            </w:pPr>
            <w:r>
              <w:t>Задбалансови активи</w:t>
            </w:r>
          </w:p>
        </w:tc>
        <w:tc>
          <w:tcPr>
            <w:tcW w:w="2310" w:type="dxa"/>
            <w:vAlign w:val="bottom"/>
          </w:tcPr>
          <w:p w:rsidR="00FE12D3" w:rsidRPr="00FB01C2" w:rsidRDefault="00FE12D3" w:rsidP="00FB01C2">
            <w:pPr>
              <w:jc w:val="center"/>
              <w:rPr>
                <w:rFonts w:ascii="Times New Roman CYR" w:hAnsi="Times New Roman CYR" w:cs="Times New Roman CYR"/>
                <w:b/>
                <w:bCs/>
                <w:lang w:val="en-US"/>
              </w:rPr>
            </w:pPr>
            <w:r>
              <w:rPr>
                <w:rFonts w:ascii="Times New Roman CYR" w:hAnsi="Times New Roman CYR" w:cs="Times New Roman CYR"/>
                <w:b/>
                <w:bCs/>
              </w:rPr>
              <w:t>75 638 489,54</w:t>
            </w:r>
          </w:p>
        </w:tc>
      </w:tr>
      <w:tr w:rsidR="00FE12D3" w:rsidRPr="00ED48BC">
        <w:trPr>
          <w:trHeight w:val="324"/>
        </w:trPr>
        <w:tc>
          <w:tcPr>
            <w:tcW w:w="540" w:type="dxa"/>
            <w:noWrap/>
          </w:tcPr>
          <w:p w:rsidR="00FE12D3" w:rsidRPr="00ED48BC" w:rsidRDefault="00FE12D3" w:rsidP="004A1224">
            <w:pPr>
              <w:jc w:val="center"/>
            </w:pPr>
            <w:r w:rsidRPr="00ED48BC">
              <w:t>3</w:t>
            </w:r>
            <w:r>
              <w:t>.</w:t>
            </w:r>
          </w:p>
        </w:tc>
        <w:tc>
          <w:tcPr>
            <w:tcW w:w="6798" w:type="dxa"/>
            <w:noWrap/>
          </w:tcPr>
          <w:p w:rsidR="00FE12D3" w:rsidRPr="00ED48BC" w:rsidRDefault="00FE12D3" w:rsidP="004A1224">
            <w:pPr>
              <w:ind w:firstLine="10"/>
            </w:pPr>
            <w:r>
              <w:t>Отчет за касово изпълнение на бюджета (общо разходи)</w:t>
            </w:r>
          </w:p>
        </w:tc>
        <w:tc>
          <w:tcPr>
            <w:tcW w:w="2310" w:type="dxa"/>
            <w:vAlign w:val="bottom"/>
          </w:tcPr>
          <w:p w:rsidR="00FE12D3" w:rsidRPr="00477327" w:rsidRDefault="00FE12D3" w:rsidP="00477327">
            <w:pPr>
              <w:jc w:val="center"/>
              <w:rPr>
                <w:rFonts w:ascii="Times New Roman CYR" w:hAnsi="Times New Roman CYR" w:cs="Times New Roman CYR"/>
                <w:lang w:val="en-US"/>
              </w:rPr>
            </w:pPr>
            <w:r>
              <w:rPr>
                <w:rFonts w:ascii="Times New Roman CYR" w:hAnsi="Times New Roman CYR" w:cs="Times New Roman CYR"/>
              </w:rPr>
              <w:t>22 481 333</w:t>
            </w:r>
          </w:p>
        </w:tc>
      </w:tr>
      <w:tr w:rsidR="00FE12D3" w:rsidRPr="00ED48BC">
        <w:trPr>
          <w:trHeight w:val="324"/>
        </w:trPr>
        <w:tc>
          <w:tcPr>
            <w:tcW w:w="540" w:type="dxa"/>
            <w:noWrap/>
          </w:tcPr>
          <w:p w:rsidR="00FE12D3" w:rsidRPr="00ED48BC" w:rsidRDefault="00FE12D3" w:rsidP="004A1224">
            <w:pPr>
              <w:jc w:val="center"/>
            </w:pPr>
            <w:r>
              <w:t>4.</w:t>
            </w:r>
          </w:p>
        </w:tc>
        <w:tc>
          <w:tcPr>
            <w:tcW w:w="6798" w:type="dxa"/>
            <w:noWrap/>
          </w:tcPr>
          <w:p w:rsidR="00FE12D3" w:rsidRDefault="00FE12D3" w:rsidP="00582EEA">
            <w:pPr>
              <w:ind w:firstLine="10"/>
            </w:pPr>
            <w:r>
              <w:t>Отчетени разходи по проекти финансирани от Кохезионния и Структурните фондове на ЕС (ИБСФ – 3- КСФ)</w:t>
            </w:r>
          </w:p>
        </w:tc>
        <w:tc>
          <w:tcPr>
            <w:tcW w:w="2310" w:type="dxa"/>
            <w:vAlign w:val="bottom"/>
          </w:tcPr>
          <w:p w:rsidR="00FE12D3" w:rsidRDefault="00FE12D3" w:rsidP="009612A0">
            <w:pPr>
              <w:jc w:val="center"/>
              <w:rPr>
                <w:rFonts w:ascii="Times New Roman CYR" w:hAnsi="Times New Roman CYR" w:cs="Times New Roman CYR"/>
              </w:rPr>
            </w:pPr>
            <w:r>
              <w:rPr>
                <w:rFonts w:ascii="Times New Roman CYR" w:hAnsi="Times New Roman CYR" w:cs="Times New Roman CYR"/>
              </w:rPr>
              <w:t>7 627 502</w:t>
            </w:r>
          </w:p>
          <w:p w:rsidR="00FE12D3" w:rsidRPr="00ED48BC" w:rsidRDefault="00FE12D3" w:rsidP="004A1224">
            <w:pPr>
              <w:ind w:firstLine="2"/>
              <w:jc w:val="center"/>
            </w:pPr>
          </w:p>
        </w:tc>
        <w:bookmarkStart w:id="7" w:name="_GoBack"/>
        <w:bookmarkEnd w:id="7"/>
      </w:tr>
      <w:tr w:rsidR="00FE12D3" w:rsidRPr="00ED48BC">
        <w:trPr>
          <w:trHeight w:val="324"/>
        </w:trPr>
        <w:tc>
          <w:tcPr>
            <w:tcW w:w="540" w:type="dxa"/>
            <w:noWrap/>
          </w:tcPr>
          <w:p w:rsidR="00FE12D3" w:rsidRDefault="00FE12D3" w:rsidP="004A1224">
            <w:pPr>
              <w:jc w:val="center"/>
            </w:pPr>
            <w:r>
              <w:t>5.</w:t>
            </w:r>
          </w:p>
        </w:tc>
        <w:tc>
          <w:tcPr>
            <w:tcW w:w="6798" w:type="dxa"/>
            <w:noWrap/>
          </w:tcPr>
          <w:p w:rsidR="00FE12D3" w:rsidRDefault="00FE12D3" w:rsidP="00582EEA">
            <w:pPr>
              <w:ind w:firstLine="10"/>
            </w:pPr>
            <w:r>
              <w:t>Отчетени разходи по проекти финансирани от Разплащателната агенция към ДФ „Земеделие“ (ИБСФ – 3)</w:t>
            </w:r>
          </w:p>
        </w:tc>
        <w:tc>
          <w:tcPr>
            <w:tcW w:w="2310" w:type="dxa"/>
            <w:vAlign w:val="bottom"/>
          </w:tcPr>
          <w:p w:rsidR="00FE12D3" w:rsidRDefault="00FE12D3" w:rsidP="009612A0">
            <w:pPr>
              <w:jc w:val="center"/>
              <w:rPr>
                <w:rFonts w:ascii="Times New Roman CYR" w:hAnsi="Times New Roman CYR" w:cs="Times New Roman CYR"/>
              </w:rPr>
            </w:pPr>
            <w:r>
              <w:rPr>
                <w:rFonts w:ascii="Times New Roman CYR" w:hAnsi="Times New Roman CYR" w:cs="Times New Roman CYR"/>
              </w:rPr>
              <w:t>16 951</w:t>
            </w:r>
          </w:p>
          <w:p w:rsidR="00FE12D3" w:rsidRPr="00ED48BC" w:rsidRDefault="00FE12D3" w:rsidP="004A1224">
            <w:pPr>
              <w:ind w:firstLine="2"/>
              <w:jc w:val="center"/>
            </w:pPr>
          </w:p>
        </w:tc>
      </w:tr>
      <w:tr w:rsidR="00FE12D3" w:rsidRPr="00ED48BC">
        <w:trPr>
          <w:trHeight w:val="324"/>
        </w:trPr>
        <w:tc>
          <w:tcPr>
            <w:tcW w:w="540" w:type="dxa"/>
            <w:noWrap/>
          </w:tcPr>
          <w:p w:rsidR="00FE12D3" w:rsidRDefault="00FE12D3" w:rsidP="004A1224">
            <w:pPr>
              <w:jc w:val="center"/>
            </w:pPr>
            <w:r>
              <w:t>6.</w:t>
            </w:r>
          </w:p>
        </w:tc>
        <w:tc>
          <w:tcPr>
            <w:tcW w:w="6798" w:type="dxa"/>
            <w:noWrap/>
          </w:tcPr>
          <w:p w:rsidR="00FE12D3" w:rsidRDefault="00FE12D3" w:rsidP="00685604">
            <w:pPr>
              <w:ind w:firstLine="10"/>
            </w:pPr>
            <w:r>
              <w:t>Наличностите по сметките за чужди средства (ИБСФ – 3 с код 33 – наличности в края на периода)</w:t>
            </w:r>
          </w:p>
        </w:tc>
        <w:tc>
          <w:tcPr>
            <w:tcW w:w="2310" w:type="dxa"/>
            <w:vAlign w:val="bottom"/>
          </w:tcPr>
          <w:p w:rsidR="00FE12D3" w:rsidRDefault="00FE12D3" w:rsidP="009612A0">
            <w:pPr>
              <w:jc w:val="center"/>
              <w:rPr>
                <w:rFonts w:ascii="Times New Roman CYR" w:hAnsi="Times New Roman CYR" w:cs="Times New Roman CYR"/>
              </w:rPr>
            </w:pPr>
            <w:r w:rsidRPr="00D27951">
              <w:rPr>
                <w:rFonts w:ascii="Times New Roman CYR" w:hAnsi="Times New Roman CYR" w:cs="Times New Roman CYR"/>
              </w:rPr>
              <w:t>5</w:t>
            </w:r>
            <w:r>
              <w:rPr>
                <w:rFonts w:ascii="Times New Roman CYR" w:hAnsi="Times New Roman CYR" w:cs="Times New Roman CYR"/>
              </w:rPr>
              <w:t>72 812</w:t>
            </w:r>
          </w:p>
          <w:p w:rsidR="00FE12D3" w:rsidRPr="00ED48BC" w:rsidRDefault="00FE12D3" w:rsidP="004A1224">
            <w:pPr>
              <w:ind w:firstLine="2"/>
              <w:jc w:val="center"/>
            </w:pPr>
          </w:p>
        </w:tc>
      </w:tr>
      <w:tr w:rsidR="00FE12D3" w:rsidRPr="00ED48BC">
        <w:trPr>
          <w:trHeight w:val="297"/>
        </w:trPr>
        <w:tc>
          <w:tcPr>
            <w:tcW w:w="540" w:type="dxa"/>
            <w:tcBorders>
              <w:bottom w:val="double" w:sz="4" w:space="0" w:color="auto"/>
            </w:tcBorders>
            <w:noWrap/>
          </w:tcPr>
          <w:p w:rsidR="00FE12D3" w:rsidRPr="009300B7" w:rsidRDefault="00FE12D3" w:rsidP="004A1224">
            <w:pPr>
              <w:jc w:val="center"/>
            </w:pPr>
            <w:r>
              <w:t>7.</w:t>
            </w:r>
          </w:p>
        </w:tc>
        <w:tc>
          <w:tcPr>
            <w:tcW w:w="6798" w:type="dxa"/>
            <w:tcBorders>
              <w:bottom w:val="double" w:sz="4" w:space="0" w:color="auto"/>
            </w:tcBorders>
            <w:noWrap/>
          </w:tcPr>
          <w:p w:rsidR="00FE12D3" w:rsidRDefault="00FE12D3" w:rsidP="004A1224">
            <w:pPr>
              <w:ind w:firstLine="10"/>
            </w:pPr>
            <w:r>
              <w:t>Ниво на същественост за финансовият отчет като цяло</w:t>
            </w:r>
          </w:p>
        </w:tc>
        <w:tc>
          <w:tcPr>
            <w:tcW w:w="2310" w:type="dxa"/>
            <w:tcBorders>
              <w:bottom w:val="double" w:sz="4" w:space="0" w:color="auto"/>
            </w:tcBorders>
            <w:vAlign w:val="bottom"/>
          </w:tcPr>
          <w:p w:rsidR="00FE12D3" w:rsidRPr="00477327" w:rsidRDefault="00FE12D3" w:rsidP="00477327">
            <w:pPr>
              <w:jc w:val="center"/>
              <w:rPr>
                <w:b/>
                <w:bCs/>
                <w:color w:val="000000"/>
                <w:lang w:val="en-US"/>
              </w:rPr>
            </w:pPr>
            <w:r w:rsidRPr="00021C08">
              <w:rPr>
                <w:b/>
                <w:bCs/>
                <w:color w:val="000000"/>
              </w:rPr>
              <w:t>2 769</w:t>
            </w:r>
            <w:r>
              <w:rPr>
                <w:b/>
                <w:bCs/>
                <w:color w:val="000000"/>
              </w:rPr>
              <w:t> </w:t>
            </w:r>
            <w:r w:rsidRPr="00021C08">
              <w:rPr>
                <w:b/>
                <w:bCs/>
                <w:color w:val="000000"/>
              </w:rPr>
              <w:t>053</w:t>
            </w:r>
          </w:p>
        </w:tc>
      </w:tr>
    </w:tbl>
    <w:p w:rsidR="00FE12D3" w:rsidRPr="00782CED" w:rsidRDefault="00FE12D3" w:rsidP="00EE069A">
      <w:pPr>
        <w:ind w:firstLine="720"/>
        <w:jc w:val="both"/>
      </w:pPr>
    </w:p>
    <w:p w:rsidR="00FE12D3" w:rsidRPr="00EE069A" w:rsidRDefault="00FE12D3" w:rsidP="00EE069A">
      <w:pPr>
        <w:pStyle w:val="Heading2"/>
      </w:pPr>
      <w:bookmarkStart w:id="8" w:name="_Toc381874298"/>
      <w:r w:rsidRPr="00EE069A">
        <w:t>ІІ. Отговорност на ръководството на одитираната организация за финансовия отчет</w:t>
      </w:r>
      <w:bookmarkEnd w:id="8"/>
    </w:p>
    <w:p w:rsidR="00FE12D3" w:rsidRPr="00DA1616" w:rsidRDefault="00FE12D3" w:rsidP="00EE069A">
      <w:pPr>
        <w:pStyle w:val="body"/>
        <w:spacing w:after="0" w:line="240" w:lineRule="auto"/>
        <w:ind w:firstLine="709"/>
        <w:jc w:val="both"/>
        <w:rPr>
          <w:rFonts w:ascii="Times New Roman" w:hAnsi="Times New Roman" w:cs="Times New Roman"/>
          <w:sz w:val="24"/>
          <w:szCs w:val="24"/>
          <w:lang w:val="bg-BG"/>
        </w:rPr>
      </w:pPr>
      <w:r w:rsidRPr="00DA1616">
        <w:rPr>
          <w:rFonts w:ascii="Times New Roman" w:hAnsi="Times New Roman" w:cs="Times New Roman"/>
          <w:sz w:val="24"/>
          <w:szCs w:val="24"/>
          <w:lang w:val="bg-BG"/>
        </w:rPr>
        <w:t>Ръководството е отговорно за изготвянето и достоверното представяне на информацията в този финансов отчет, в съответствие с приложимата обща рамка за финансово отчитане, както и за функционирането на система за вътрешен контрол, необходима за изготвянето на финансов отчет, който да не съдържа съществени отклонения, независимо дали се дължат на измама или грешка.</w:t>
      </w:r>
    </w:p>
    <w:p w:rsidR="00FE12D3" w:rsidRDefault="00FE12D3" w:rsidP="00EE069A">
      <w:pPr>
        <w:pStyle w:val="BodyText"/>
        <w:ind w:firstLine="720"/>
        <w:rPr>
          <w:b/>
          <w:bCs/>
          <w:i/>
          <w:iCs/>
        </w:rPr>
      </w:pPr>
    </w:p>
    <w:p w:rsidR="00FE12D3" w:rsidRPr="00EE069A" w:rsidRDefault="00FE12D3" w:rsidP="00EE069A">
      <w:pPr>
        <w:pStyle w:val="Heading2"/>
      </w:pPr>
      <w:bookmarkStart w:id="9" w:name="_Toc381874299"/>
      <w:r w:rsidRPr="00EE069A">
        <w:t>ІІІ. Отговорност на одитора</w:t>
      </w:r>
      <w:bookmarkEnd w:id="9"/>
    </w:p>
    <w:p w:rsidR="00FE12D3" w:rsidRPr="00DA1616" w:rsidRDefault="00FE12D3" w:rsidP="00770D11">
      <w:pPr>
        <w:pStyle w:val="BodyText"/>
        <w:spacing w:after="0"/>
        <w:ind w:firstLine="720"/>
        <w:jc w:val="both"/>
      </w:pPr>
      <w:r w:rsidRPr="00DA1616">
        <w:t>Отговорността на Сметна палата се свежда до изразяване на независимо одитно становище по този финансов отчет, основаващо се на резултатите от извършения одит. Одитът бе проведен в съответствие със Закона за Сметната палата</w:t>
      </w:r>
      <w:r>
        <w:t xml:space="preserve"> (ЗСП)</w:t>
      </w:r>
      <w:r w:rsidRPr="00DA1616">
        <w:t xml:space="preserve"> и </w:t>
      </w:r>
      <w:r>
        <w:t xml:space="preserve">основните одитни приципи на </w:t>
      </w:r>
      <w:r w:rsidRPr="00DA1616">
        <w:t>Международн</w:t>
      </w:r>
      <w:r>
        <w:t>ите</w:t>
      </w:r>
      <w:r w:rsidRPr="00DA1616">
        <w:t xml:space="preserve"> стандарти</w:t>
      </w:r>
      <w:r>
        <w:t xml:space="preserve"> на Върховните одитни институции. </w:t>
      </w:r>
      <w:r w:rsidRPr="00DA1616">
        <w:t>Тези стандарти налагат спазване на етичните изисквания, както и одитът да бъде планиран и проведен така, че одиторите да се убедят в разумна степен на увереност</w:t>
      </w:r>
      <w:r>
        <w:t>,</w:t>
      </w:r>
      <w:r w:rsidRPr="00DA1616">
        <w:t xml:space="preserve"> доколко финансовият отчет не съдържа съществени отклонения.</w:t>
      </w:r>
    </w:p>
    <w:p w:rsidR="00FE12D3" w:rsidRDefault="00FE12D3" w:rsidP="00770D11">
      <w:pPr>
        <w:pStyle w:val="level2"/>
        <w:widowControl w:val="0"/>
        <w:spacing w:after="0" w:line="240" w:lineRule="auto"/>
        <w:ind w:left="0" w:firstLine="709"/>
        <w:rPr>
          <w:color w:val="000000"/>
          <w:sz w:val="24"/>
          <w:szCs w:val="24"/>
          <w:lang w:val="bg-BG"/>
        </w:rPr>
      </w:pPr>
      <w:r w:rsidRPr="00DA1616">
        <w:rPr>
          <w:color w:val="000000"/>
          <w:sz w:val="24"/>
          <w:szCs w:val="24"/>
          <w:lang w:val="bg-BG"/>
        </w:rPr>
        <w:t xml:space="preserve">Одитът включи изпълнението на процедури с цел получаване на одитни доказателства относно сумите и оповестяванията, представени във финансовия отчет. Избраните процедури са въпрос на независима одитна преценка, включително оценка на рисковете от съществени отклонения във финансовия отчет, независимо дали те се дължат на измама или на грешка. При извършването на тези оценки на риска се взе под внимание системата за вътрешен контрол, свързана с изготвянето и достоверното представяне на финансов отчет, за да се разработят одитни процедури, които са подходящи при тези обстоятелства, но не с цел изразяване на становище относно ефективността на </w:t>
      </w:r>
      <w:r>
        <w:rPr>
          <w:color w:val="000000"/>
          <w:sz w:val="24"/>
          <w:szCs w:val="24"/>
          <w:lang w:val="bg-BG"/>
        </w:rPr>
        <w:t xml:space="preserve">цялостната </w:t>
      </w:r>
      <w:r w:rsidRPr="00DA1616">
        <w:rPr>
          <w:color w:val="000000"/>
          <w:sz w:val="24"/>
          <w:szCs w:val="24"/>
          <w:lang w:val="bg-BG"/>
        </w:rPr>
        <w:t xml:space="preserve">система за вътрешен контрол на организацията. Одитът също така включи оценка на уместността на прилаганите счетоводни политики и разумността на приблизителните счетоводни оценки, направени от ръководството, както и оценка на цялостното представяне във финансовия </w:t>
      </w:r>
      <w:r w:rsidRPr="004611D8">
        <w:rPr>
          <w:color w:val="000000"/>
          <w:sz w:val="24"/>
          <w:szCs w:val="24"/>
          <w:lang w:val="bg-BG"/>
        </w:rPr>
        <w:t>отчет.</w:t>
      </w:r>
    </w:p>
    <w:p w:rsidR="00FE12D3" w:rsidRPr="00DA1616" w:rsidRDefault="00FE12D3" w:rsidP="00CF5629">
      <w:pPr>
        <w:pStyle w:val="level2"/>
        <w:widowControl w:val="0"/>
        <w:spacing w:after="0" w:line="240" w:lineRule="auto"/>
        <w:ind w:left="0" w:firstLine="0"/>
        <w:rPr>
          <w:sz w:val="24"/>
          <w:szCs w:val="24"/>
          <w:lang w:val="bg-BG"/>
        </w:rPr>
      </w:pPr>
    </w:p>
    <w:p w:rsidR="00FE12D3" w:rsidRPr="00B467FA" w:rsidRDefault="00FE12D3" w:rsidP="00EE069A">
      <w:pPr>
        <w:pStyle w:val="Heading1"/>
        <w:spacing w:before="0" w:after="0"/>
      </w:pPr>
      <w:bookmarkStart w:id="10" w:name="_Toc381874300"/>
      <w:r w:rsidRPr="00B467FA">
        <w:t>Част втора</w:t>
      </w:r>
      <w:bookmarkEnd w:id="10"/>
    </w:p>
    <w:p w:rsidR="00FE12D3" w:rsidRDefault="00FE12D3" w:rsidP="00770D11">
      <w:pPr>
        <w:tabs>
          <w:tab w:val="left" w:pos="720"/>
        </w:tabs>
        <w:ind w:firstLine="720"/>
        <w:jc w:val="both"/>
        <w:rPr>
          <w:b/>
          <w:bCs/>
        </w:rPr>
      </w:pPr>
      <w:r w:rsidRPr="00782CED">
        <w:rPr>
          <w:b/>
          <w:bCs/>
        </w:rPr>
        <w:t>КОНСТАТАЦИИ</w:t>
      </w:r>
      <w:r>
        <w:rPr>
          <w:b/>
          <w:bCs/>
        </w:rPr>
        <w:t xml:space="preserve"> или База за изразяване на становище</w:t>
      </w:r>
    </w:p>
    <w:p w:rsidR="00FE12D3" w:rsidRDefault="00FE12D3" w:rsidP="00770D11">
      <w:pPr>
        <w:tabs>
          <w:tab w:val="left" w:pos="720"/>
        </w:tabs>
        <w:ind w:firstLine="720"/>
        <w:jc w:val="both"/>
        <w:rPr>
          <w:b/>
          <w:bCs/>
        </w:rPr>
      </w:pPr>
    </w:p>
    <w:p w:rsidR="00FE12D3" w:rsidRDefault="00FE12D3" w:rsidP="00CF5629">
      <w:pPr>
        <w:jc w:val="both"/>
      </w:pPr>
      <w:r w:rsidRPr="00582E11">
        <w:t>Формата, съдържанието и представянето на годишния финансов отчет са в съответствие с изискванията на Закона за счетоводство</w:t>
      </w:r>
      <w:r>
        <w:t>(ЗСч)</w:t>
      </w:r>
      <w:r w:rsidRPr="00582E11">
        <w:t>, Единната бю</w:t>
      </w:r>
      <w:r>
        <w:t>джетна класификация(ЕБК) за 2013</w:t>
      </w:r>
      <w:r w:rsidRPr="00582E11">
        <w:t xml:space="preserve"> г., Сметкоплана на бюджетните предприятия(СБП)</w:t>
      </w:r>
      <w:r>
        <w:t>,</w:t>
      </w:r>
      <w:r>
        <w:rPr>
          <w:lang w:val="ru-RU"/>
        </w:rPr>
        <w:t>ДДС № 1</w:t>
      </w:r>
      <w:r>
        <w:t xml:space="preserve">1и № 12 </w:t>
      </w:r>
      <w:r>
        <w:rPr>
          <w:lang w:val="ru-RU"/>
        </w:rPr>
        <w:t>от 18.12.201</w:t>
      </w:r>
      <w:r>
        <w:t>3</w:t>
      </w:r>
      <w:r w:rsidRPr="000658F6">
        <w:rPr>
          <w:lang w:val="ru-RU"/>
        </w:rPr>
        <w:t xml:space="preserve"> г.</w:t>
      </w:r>
      <w:r>
        <w:t xml:space="preserve"> на Министерство на финансите(МФ)</w:t>
      </w:r>
      <w:r w:rsidRPr="00582E11">
        <w:t>и утвърдената от кмета на община</w:t>
      </w:r>
      <w:r>
        <w:t>та Счетоводна политика за 2013</w:t>
      </w:r>
      <w:r w:rsidRPr="00582E11">
        <w:t xml:space="preserve"> г.</w:t>
      </w:r>
    </w:p>
    <w:p w:rsidR="00FE12D3" w:rsidRPr="00BA2E7B" w:rsidRDefault="00FE12D3" w:rsidP="00CF5629">
      <w:pPr>
        <w:jc w:val="both"/>
        <w:rPr>
          <w:sz w:val="22"/>
          <w:szCs w:val="22"/>
        </w:rPr>
      </w:pPr>
      <w:r>
        <w:t xml:space="preserve">            Годишният финансов отчет за 2013</w:t>
      </w:r>
      <w:r w:rsidRPr="00BB3DDD">
        <w:t xml:space="preserve"> г. на община </w:t>
      </w:r>
      <w:r>
        <w:t>Горна Оряховица</w:t>
      </w:r>
      <w:r w:rsidRPr="00BB3DDD">
        <w:t xml:space="preserve"> е изготвен по елементи </w:t>
      </w:r>
      <w:r>
        <w:t xml:space="preserve">и приложенията към тях </w:t>
      </w:r>
      <w:r w:rsidRPr="00BB3DDD">
        <w:t xml:space="preserve">в съответствие с изискванията на </w:t>
      </w:r>
      <w:r w:rsidRPr="00BB3DDD">
        <w:rPr>
          <w:lang w:val="ru-RU"/>
        </w:rPr>
        <w:t xml:space="preserve">Заповед № </w:t>
      </w:r>
      <w:r w:rsidRPr="00BB3DDD">
        <w:t>60</w:t>
      </w:r>
      <w:r w:rsidRPr="00BB3DDD">
        <w:rPr>
          <w:lang w:val="ru-RU"/>
        </w:rPr>
        <w:t xml:space="preserve"> от 2</w:t>
      </w:r>
      <w:r w:rsidRPr="00BB3DDD">
        <w:t>0</w:t>
      </w:r>
      <w:r w:rsidRPr="00BB3DDD">
        <w:rPr>
          <w:lang w:val="ru-RU"/>
        </w:rPr>
        <w:t>.01.200</w:t>
      </w:r>
      <w:r w:rsidRPr="00BB3DDD">
        <w:t>5</w:t>
      </w:r>
      <w:r w:rsidRPr="00BB3DDD">
        <w:rPr>
          <w:lang w:val="ru-RU"/>
        </w:rPr>
        <w:t xml:space="preserve"> г. на министъра на финансите</w:t>
      </w:r>
      <w:r>
        <w:rPr>
          <w:lang w:val="ru-RU"/>
        </w:rPr>
        <w:t xml:space="preserve">.Представен е </w:t>
      </w:r>
      <w:r w:rsidRPr="00BB3DDD">
        <w:rPr>
          <w:lang w:val="ru-RU"/>
        </w:rPr>
        <w:t>в Сметна палата</w:t>
      </w:r>
      <w:r w:rsidRPr="00BB3DDD">
        <w:t xml:space="preserve"> – ИРМ гр. </w:t>
      </w:r>
      <w:r>
        <w:t>Велико Търново</w:t>
      </w:r>
      <w:r>
        <w:rPr>
          <w:lang w:val="ru-RU"/>
        </w:rPr>
        <w:t xml:space="preserve">с </w:t>
      </w:r>
      <w:r w:rsidRPr="00BA2E7B">
        <w:rPr>
          <w:lang w:val="ru-RU"/>
        </w:rPr>
        <w:t xml:space="preserve">Вх. № </w:t>
      </w:r>
      <w:r w:rsidRPr="00BA2E7B">
        <w:t xml:space="preserve">20и № 21 от 26.02.2014 </w:t>
      </w:r>
      <w:r w:rsidRPr="00BA2E7B">
        <w:rPr>
          <w:lang w:val="ru-RU"/>
        </w:rPr>
        <w:t>г. в срока определен от МФ.</w:t>
      </w:r>
    </w:p>
    <w:p w:rsidR="00FE12D3" w:rsidRPr="00BA2E7B" w:rsidRDefault="00FE12D3" w:rsidP="00CF5629">
      <w:pPr>
        <w:tabs>
          <w:tab w:val="left" w:pos="720"/>
        </w:tabs>
        <w:jc w:val="both"/>
      </w:pPr>
      <w:r w:rsidRPr="00BA2E7B">
        <w:t>Приложенията към ГФО са в съответствие с указанията на МФ и включват: обяснителни записки към ОКИБ и Баланса към 31.12.201</w:t>
      </w:r>
      <w:r w:rsidRPr="00BA2E7B">
        <w:rPr>
          <w:lang w:val="ru-RU"/>
        </w:rPr>
        <w:t>2</w:t>
      </w:r>
      <w:r w:rsidRPr="00BA2E7B">
        <w:t xml:space="preserve"> г. с информация за състоянието и изменението на основните активи, пасиви, приходи, разходи, дого</w:t>
      </w:r>
      <w:r>
        <w:t>вори за поети задължения</w:t>
      </w:r>
      <w:r w:rsidRPr="00BA2E7B">
        <w:t xml:space="preserve">, просрочени вземания и задължения и друга финансова и нефинансова информация.   </w:t>
      </w:r>
    </w:p>
    <w:p w:rsidR="00FE12D3" w:rsidRPr="00770D11" w:rsidRDefault="00FE12D3" w:rsidP="00B3148D">
      <w:pPr>
        <w:jc w:val="both"/>
      </w:pPr>
    </w:p>
    <w:p w:rsidR="00FE12D3" w:rsidRPr="0075313C" w:rsidRDefault="00FE12D3" w:rsidP="00770D11">
      <w:pPr>
        <w:pStyle w:val="Heading2"/>
        <w:spacing w:before="0" w:after="0"/>
      </w:pPr>
      <w:bookmarkStart w:id="11" w:name="_Toc381874301"/>
      <w:r w:rsidRPr="00351575">
        <w:t>І. Некоригирани отклонения, които оказват влияние върху достоверността на</w:t>
      </w:r>
      <w:r w:rsidRPr="0075313C">
        <w:t xml:space="preserve"> ГФО</w:t>
      </w:r>
      <w:bookmarkEnd w:id="11"/>
    </w:p>
    <w:p w:rsidR="00FE12D3" w:rsidRPr="00782CED" w:rsidRDefault="00FE12D3" w:rsidP="006E17CE">
      <w:pPr>
        <w:numPr>
          <w:ilvl w:val="0"/>
          <w:numId w:val="15"/>
        </w:numPr>
        <w:tabs>
          <w:tab w:val="left" w:pos="720"/>
          <w:tab w:val="left" w:pos="1134"/>
        </w:tabs>
        <w:ind w:left="0" w:firstLine="709"/>
        <w:jc w:val="both"/>
      </w:pPr>
      <w:r>
        <w:t>При извършения финансов одит на годишния финансов отчет на община Горна Оряховица не са установени некоригирани отклонения, които оказват влияние върху достоверността на ГФО.</w:t>
      </w:r>
    </w:p>
    <w:p w:rsidR="00FE12D3" w:rsidRPr="004559EC" w:rsidRDefault="00FE12D3" w:rsidP="004559EC">
      <w:pPr>
        <w:pStyle w:val="Heading2"/>
      </w:pPr>
      <w:bookmarkStart w:id="12" w:name="_Toc381874302"/>
      <w:r w:rsidRPr="00351575">
        <w:t>IІ.Некоригирани отклонения, които не оказват влияние върху достоверността</w:t>
      </w:r>
      <w:r w:rsidRPr="00782CED">
        <w:t xml:space="preserve"> на ГФО</w:t>
      </w:r>
      <w:bookmarkEnd w:id="12"/>
    </w:p>
    <w:p w:rsidR="00FE12D3" w:rsidRPr="004559EC" w:rsidRDefault="00FE12D3" w:rsidP="004559EC">
      <w:pPr>
        <w:tabs>
          <w:tab w:val="left" w:pos="720"/>
          <w:tab w:val="left" w:pos="1134"/>
        </w:tabs>
        <w:jc w:val="both"/>
      </w:pPr>
      <w:r w:rsidRPr="002F7BFA">
        <w:rPr>
          <w:b/>
          <w:bCs/>
        </w:rPr>
        <w:t>1.</w:t>
      </w:r>
      <w:r>
        <w:t xml:space="preserve"> При извършения финансов одит на годишния финансов отчет на община Горна Оряховица не са установени некоригирани отклонения, които не казват влияние върху достоверността на ГФО.</w:t>
      </w:r>
    </w:p>
    <w:p w:rsidR="00FE12D3" w:rsidRPr="00351575" w:rsidRDefault="00FE12D3" w:rsidP="00351575">
      <w:pPr>
        <w:pStyle w:val="Heading2"/>
      </w:pPr>
      <w:bookmarkStart w:id="13" w:name="_Toc381874303"/>
      <w:r w:rsidRPr="00351575">
        <w:t>ІІІ. Отклонения, коригирани по време на одита</w:t>
      </w:r>
      <w:bookmarkEnd w:id="13"/>
    </w:p>
    <w:p w:rsidR="00FE12D3" w:rsidRDefault="00FE12D3" w:rsidP="003A0701">
      <w:pPr>
        <w:tabs>
          <w:tab w:val="left" w:pos="720"/>
        </w:tabs>
        <w:jc w:val="both"/>
      </w:pPr>
      <w:r w:rsidRPr="00BA2E7B">
        <w:t xml:space="preserve">            При </w:t>
      </w:r>
      <w:r>
        <w:t xml:space="preserve">извършения </w:t>
      </w:r>
      <w:r w:rsidRPr="00BA2E7B">
        <w:t xml:space="preserve">анализа на </w:t>
      </w:r>
      <w:r>
        <w:t xml:space="preserve">финансовата и нефинансова </w:t>
      </w:r>
      <w:r w:rsidRPr="00BA2E7B">
        <w:t>информация включ</w:t>
      </w:r>
      <w:r>
        <w:t>ена</w:t>
      </w:r>
      <w:r w:rsidRPr="00BA2E7B">
        <w:t xml:space="preserve"> в годишния финансовия отчет и приложенията към него не са установени съществени отклонения, с изключение на:</w:t>
      </w:r>
    </w:p>
    <w:p w:rsidR="00FE12D3" w:rsidRPr="00782CED" w:rsidRDefault="00FE12D3" w:rsidP="00EE0A36">
      <w:pPr>
        <w:tabs>
          <w:tab w:val="left" w:pos="720"/>
        </w:tabs>
        <w:ind w:firstLine="720"/>
        <w:jc w:val="both"/>
        <w:rPr>
          <w:b/>
          <w:bCs/>
        </w:rPr>
      </w:pPr>
    </w:p>
    <w:p w:rsidR="00FE12D3" w:rsidRDefault="00FE12D3" w:rsidP="00024B79">
      <w:pPr>
        <w:jc w:val="both"/>
        <w:rPr>
          <w:lang w:val="ru-RU"/>
        </w:rPr>
      </w:pPr>
      <w:r w:rsidRPr="00CD316A">
        <w:rPr>
          <w:b/>
          <w:bCs/>
        </w:rPr>
        <w:t xml:space="preserve">            1.</w:t>
      </w:r>
      <w:r w:rsidRPr="00AE2A1B">
        <w:t>Разходи за строителен надзор</w:t>
      </w:r>
      <w:r>
        <w:rPr>
          <w:rStyle w:val="FootnoteReference"/>
        </w:rPr>
        <w:footnoteReference w:customMarkFollows="1" w:id="2"/>
        <w:t>1</w:t>
      </w:r>
      <w:r w:rsidRPr="00AE2A1B">
        <w:t xml:space="preserve"> при основен ремонт в размер на 4 500 лв., неправилно са отразени  по подпараграф 10-20 „Разходи за външни услуги“, вместо по параграф 51-00 „Основен ремонт на дълготрайни материални активи (ДМА)“ в отчета за касово изпълнение на бюджета към 31.12.2013 г.</w:t>
      </w:r>
    </w:p>
    <w:p w:rsidR="00FE12D3" w:rsidRPr="00024B79" w:rsidRDefault="00FE12D3" w:rsidP="00024B79">
      <w:pPr>
        <w:jc w:val="both"/>
        <w:rPr>
          <w:lang w:val="ru-RU"/>
        </w:rPr>
      </w:pPr>
      <w:r>
        <w:rPr>
          <w:lang w:val="ru-RU"/>
        </w:rPr>
        <w:t xml:space="preserve">            По време на финансовия одит е извършена корекция на отчета за касово изпълнение на бюджета.</w:t>
      </w:r>
    </w:p>
    <w:p w:rsidR="00FE12D3" w:rsidRDefault="00FE12D3" w:rsidP="003F433D">
      <w:pPr>
        <w:jc w:val="both"/>
        <w:rPr>
          <w:lang w:eastAsia="en-US"/>
        </w:rPr>
      </w:pPr>
      <w:r w:rsidRPr="00CD316A">
        <w:rPr>
          <w:b/>
          <w:bCs/>
          <w:lang w:val="ru-RU"/>
        </w:rPr>
        <w:t xml:space="preserve">            2.</w:t>
      </w:r>
      <w:r w:rsidRPr="00CD316A">
        <w:rPr>
          <w:lang w:val="ru-RU"/>
        </w:rPr>
        <w:t>Разходи</w:t>
      </w:r>
      <w:r>
        <w:rPr>
          <w:rStyle w:val="FootnoteReference"/>
          <w:lang w:val="ru-RU"/>
        </w:rPr>
        <w:footnoteReference w:customMarkFollows="1" w:id="3"/>
        <w:t>2</w:t>
      </w:r>
      <w:r w:rsidRPr="00CD316A">
        <w:rPr>
          <w:lang w:val="ru-RU"/>
        </w:rPr>
        <w:t xml:space="preserve"> с бюджетни средствав размер на 24 852 лв.,осчетоводени по сметка 2071 </w:t>
      </w:r>
      <w:r w:rsidRPr="0011673E">
        <w:t>„Незавършено строителство, производство и</w:t>
      </w:r>
      <w:r>
        <w:t xml:space="preserve"> основен ремонт“ в</w:t>
      </w:r>
      <w:r w:rsidRPr="0011673E">
        <w:t xml:space="preserve"> предходни периоди</w:t>
      </w:r>
      <w:r w:rsidRPr="00CD316A">
        <w:rPr>
          <w:lang w:val="ru-RU"/>
        </w:rPr>
        <w:t xml:space="preserve">за изграждане на инфраструктурен обект </w:t>
      </w:r>
      <w:r w:rsidRPr="00AE2A1B">
        <w:t>„</w:t>
      </w:r>
      <w:r w:rsidRPr="00CD316A">
        <w:rPr>
          <w:lang w:val="ru-RU"/>
        </w:rPr>
        <w:t>Водно-отоплителна централа</w:t>
      </w:r>
      <w:r w:rsidRPr="0011673E">
        <w:t>“</w:t>
      </w:r>
      <w:r>
        <w:t>,</w:t>
      </w:r>
      <w:r>
        <w:rPr>
          <w:lang w:eastAsia="en-US"/>
        </w:rPr>
        <w:t xml:space="preserve">по който не са извършвани и не се предвиждат строителни дейности, </w:t>
      </w:r>
      <w:r>
        <w:t>не са</w:t>
      </w:r>
      <w:r w:rsidRPr="00AE2A1B">
        <w:t xml:space="preserve"> отчетен</w:t>
      </w:r>
      <w:r>
        <w:t>и</w:t>
      </w:r>
      <w:r w:rsidRPr="00AE2A1B">
        <w:t xml:space="preserve"> по сметките от раздел 6 и по задбалансови сметки от подгрупа 990 на СБП.</w:t>
      </w:r>
    </w:p>
    <w:p w:rsidR="00FE12D3" w:rsidRPr="00AE2A1B" w:rsidRDefault="00FE12D3" w:rsidP="00CD316A">
      <w:pPr>
        <w:jc w:val="both"/>
        <w:rPr>
          <w:lang w:eastAsia="en-US"/>
        </w:rPr>
      </w:pPr>
      <w:r>
        <w:rPr>
          <w:lang w:val="ru-RU"/>
        </w:rPr>
        <w:t xml:space="preserve">По време на финансовия одит са взети коригиращи счетоводни записвания с </w:t>
      </w:r>
      <w:r>
        <w:rPr>
          <w:lang w:eastAsia="en-US"/>
        </w:rPr>
        <w:t xml:space="preserve">мемориален ордер (МО) № 65 от м.декември 2013 г. </w:t>
      </w:r>
    </w:p>
    <w:p w:rsidR="00FE12D3" w:rsidRDefault="00FE12D3" w:rsidP="00982938">
      <w:pPr>
        <w:jc w:val="both"/>
      </w:pPr>
      <w:r w:rsidRPr="003F433D">
        <w:rPr>
          <w:b/>
          <w:bCs/>
        </w:rPr>
        <w:t>3.</w:t>
      </w:r>
      <w:r w:rsidRPr="00AE2A1B">
        <w:t>При отчитане на разходи</w:t>
      </w:r>
      <w:r>
        <w:rPr>
          <w:rStyle w:val="FootnoteReference"/>
          <w:lang w:val="ru-RU"/>
        </w:rPr>
        <w:footnoteReference w:customMarkFollows="1" w:id="4"/>
        <w:t>3</w:t>
      </w:r>
      <w:r>
        <w:t>по сметка 2071 „</w:t>
      </w:r>
      <w:r w:rsidRPr="0011673E">
        <w:t>Незавършено строителство, производство и</w:t>
      </w:r>
      <w:r>
        <w:t xml:space="preserve"> основен ремонт“ </w:t>
      </w:r>
      <w:r w:rsidRPr="00AE2A1B">
        <w:t xml:space="preserve">за обект „Изграждане на </w:t>
      </w:r>
      <w:r>
        <w:t xml:space="preserve">парк Пролет“ по проект </w:t>
      </w:r>
      <w:r w:rsidRPr="00AE2A1B">
        <w:t>„Градска среда“ със средства по оперативна програма „Околна среда“</w:t>
      </w:r>
      <w:r w:rsidRPr="00056973">
        <w:t xml:space="preserve"> в отчетна група „ИБСФ-НФ-КСФ“,</w:t>
      </w:r>
      <w:r w:rsidRPr="00AE2A1B">
        <w:t xml:space="preserve"> два пъти е осчетоводена неустойка в размер на 34 863 лв., за неизпълнени в срок </w:t>
      </w:r>
      <w:r>
        <w:t>строително монтажни работи (</w:t>
      </w:r>
      <w:r w:rsidRPr="00AE2A1B">
        <w:t>СМР</w:t>
      </w:r>
      <w:r>
        <w:t>)</w:t>
      </w:r>
      <w:r w:rsidRPr="00AE2A1B">
        <w:t xml:space="preserve">.      </w:t>
      </w:r>
    </w:p>
    <w:p w:rsidR="00FE12D3" w:rsidRPr="00AE2A1B" w:rsidRDefault="00FE12D3" w:rsidP="003F433D">
      <w:pPr>
        <w:jc w:val="both"/>
        <w:rPr>
          <w:lang w:eastAsia="en-US"/>
        </w:rPr>
      </w:pPr>
      <w:r>
        <w:rPr>
          <w:lang w:val="ru-RU"/>
        </w:rPr>
        <w:t>По време на финансовия одит са взети коригиращи счетоводни записвания</w:t>
      </w:r>
      <w:r>
        <w:rPr>
          <w:lang w:eastAsia="en-US"/>
        </w:rPr>
        <w:t xml:space="preserve">с МО    № 536 от м.декември 2013 г. </w:t>
      </w:r>
    </w:p>
    <w:p w:rsidR="00FE12D3" w:rsidRDefault="00FE12D3" w:rsidP="00065204">
      <w:pPr>
        <w:jc w:val="both"/>
        <w:rPr>
          <w:lang w:eastAsia="en-US"/>
        </w:rPr>
      </w:pPr>
      <w:r w:rsidRPr="00065204">
        <w:rPr>
          <w:b/>
          <w:bCs/>
        </w:rPr>
        <w:t xml:space="preserve">            4.</w:t>
      </w:r>
      <w:r>
        <w:t>Н</w:t>
      </w:r>
      <w:r w:rsidRPr="00AE2A1B">
        <w:t>е е начислен данък върху приходите</w:t>
      </w:r>
      <w:r>
        <w:rPr>
          <w:rStyle w:val="FootnoteReference"/>
        </w:rPr>
        <w:footnoteReference w:customMarkFollows="1" w:id="5"/>
        <w:t>4</w:t>
      </w:r>
      <w:r>
        <w:t xml:space="preserve">вразмер на 4 233 лв. </w:t>
      </w:r>
      <w:r w:rsidRPr="00AE2A1B">
        <w:t xml:space="preserve">по сметка 4512 „Разчети за данък върху </w:t>
      </w:r>
      <w:r>
        <w:t>приходите от стопанска дейност“ от продажбите на земеделски земи (216 38</w:t>
      </w:r>
      <w:r w:rsidRPr="00AE2A1B">
        <w:t>1 лв.)</w:t>
      </w:r>
      <w:r>
        <w:t xml:space="preserve"> осчетоводени по сметка 9939 „Приходи от стопанска дейност“ и  съответната кореспондираща задбалансова сметка.</w:t>
      </w:r>
    </w:p>
    <w:p w:rsidR="00FE12D3" w:rsidRPr="00065204" w:rsidRDefault="00FE12D3" w:rsidP="00982938">
      <w:pPr>
        <w:jc w:val="both"/>
        <w:rPr>
          <w:lang w:eastAsia="en-US"/>
        </w:rPr>
      </w:pPr>
      <w:r>
        <w:rPr>
          <w:lang w:val="ru-RU"/>
        </w:rPr>
        <w:t>По време на финансовия одит са взети коригиращи счетоводни записвания</w:t>
      </w:r>
      <w:r>
        <w:rPr>
          <w:lang w:eastAsia="en-US"/>
        </w:rPr>
        <w:t xml:space="preserve"> с МО  № 66 от м.декември 2013 г. </w:t>
      </w:r>
    </w:p>
    <w:p w:rsidR="00FE12D3" w:rsidRDefault="00FE12D3" w:rsidP="00186AF0">
      <w:pPr>
        <w:jc w:val="both"/>
        <w:rPr>
          <w:lang w:eastAsia="en-US"/>
        </w:rPr>
      </w:pPr>
      <w:r w:rsidRPr="00065204">
        <w:rPr>
          <w:b/>
          <w:bCs/>
        </w:rPr>
        <w:t xml:space="preserve">            5.</w:t>
      </w:r>
      <w:r w:rsidRPr="00AE2A1B">
        <w:t>Допусната е техническа грешка</w:t>
      </w:r>
      <w:r>
        <w:rPr>
          <w:rStyle w:val="FootnoteReference"/>
        </w:rPr>
        <w:footnoteReference w:customMarkFollows="1" w:id="6"/>
        <w:t>5</w:t>
      </w:r>
      <w:r>
        <w:t xml:space="preserve"> при въвеждане</w:t>
      </w:r>
      <w:r w:rsidRPr="00AE2A1B">
        <w:t xml:space="preserve"> на информацията в таблица </w:t>
      </w:r>
      <w:r w:rsidRPr="00065204">
        <w:rPr>
          <w:lang w:val="en-US"/>
        </w:rPr>
        <w:t>TRIAL</w:t>
      </w:r>
      <w:r w:rsidRPr="00065204">
        <w:rPr>
          <w:lang w:val="ru-RU"/>
        </w:rPr>
        <w:t>-</w:t>
      </w:r>
      <w:r w:rsidRPr="00065204">
        <w:rPr>
          <w:lang w:val="en-US"/>
        </w:rPr>
        <w:t>BALANCE</w:t>
      </w:r>
      <w:r w:rsidRPr="00AE2A1B">
        <w:t xml:space="preserve"> отчетна група ИБСФ-</w:t>
      </w:r>
      <w:r>
        <w:t>НФ-</w:t>
      </w:r>
      <w:r w:rsidRPr="00AE2A1B">
        <w:t>КСФ в размер на 5 924 лв., която води до промяна в оборотите и крайните салда на сметките от раздел 4 (5924 лв.) и на сметките от раздел 6 (1549 лв.) на СБП</w:t>
      </w:r>
      <w:r>
        <w:rPr>
          <w:lang w:eastAsia="en-US"/>
        </w:rPr>
        <w:t>в ЦДГ „Щастливо детство“ и ОДЗ „Божур“ - второстепенни разпоредители с бюджети.</w:t>
      </w:r>
    </w:p>
    <w:p w:rsidR="00FE12D3" w:rsidRPr="009C2698" w:rsidRDefault="00FE12D3" w:rsidP="00186AF0">
      <w:pPr>
        <w:jc w:val="both"/>
        <w:rPr>
          <w:lang w:val="ru-RU" w:eastAsia="en-US"/>
        </w:rPr>
      </w:pPr>
      <w:r>
        <w:rPr>
          <w:lang w:val="ru-RU"/>
        </w:rPr>
        <w:t>По време на финансовия одит техническата грешка в оборотната ведомост е отстранена.</w:t>
      </w:r>
    </w:p>
    <w:p w:rsidR="00FE12D3" w:rsidRDefault="00FE12D3" w:rsidP="00B35997">
      <w:pPr>
        <w:jc w:val="both"/>
      </w:pPr>
      <w:r w:rsidRPr="006117E3">
        <w:rPr>
          <w:b/>
          <w:bCs/>
          <w:lang w:val="ru-RU" w:eastAsia="en-US"/>
        </w:rPr>
        <w:t xml:space="preserve">            6</w:t>
      </w:r>
      <w:r w:rsidRPr="006117E3">
        <w:rPr>
          <w:b/>
          <w:bCs/>
          <w:lang w:eastAsia="en-US"/>
        </w:rPr>
        <w:t>.</w:t>
      </w:r>
      <w:r>
        <w:rPr>
          <w:lang w:val="ru-RU"/>
        </w:rPr>
        <w:t xml:space="preserve">Предоставен </w:t>
      </w:r>
      <w:r>
        <w:t>временен безлихвен заем</w:t>
      </w:r>
      <w:r>
        <w:rPr>
          <w:rStyle w:val="FootnoteReference"/>
        </w:rPr>
        <w:footnoteReference w:customMarkFollows="1" w:id="7"/>
        <w:t>6</w:t>
      </w:r>
      <w:r>
        <w:t xml:space="preserve"> от бюджета в размер на 1 549 лв. неправилно е осчетоводен в отчетна група ИБСФ-НФ-КСФ по сметка 4624 „</w:t>
      </w:r>
      <w:r>
        <w:rPr>
          <w:lang w:val="ru-RU"/>
        </w:rPr>
        <w:t>Временни безлихвени заеми от/за общински бюджети</w:t>
      </w:r>
      <w:r>
        <w:t>“, вместо по сметка 4614 „</w:t>
      </w:r>
      <w:r>
        <w:rPr>
          <w:lang w:val="ru-RU"/>
        </w:rPr>
        <w:t>Временни безлихвени заеми от/за общински бюджети</w:t>
      </w:r>
      <w:r>
        <w:t xml:space="preserve">“ в </w:t>
      </w:r>
      <w:r w:rsidRPr="00B15D80">
        <w:t>ОДЗ „Божур”</w:t>
      </w:r>
      <w:r w:rsidRPr="002D4BA0">
        <w:t>(231 лв</w:t>
      </w:r>
      <w:r w:rsidRPr="00B15D80">
        <w:t>.</w:t>
      </w:r>
      <w:r>
        <w:t>)</w:t>
      </w:r>
      <w:r w:rsidRPr="00B15D80">
        <w:t xml:space="preserve">  и в ЦДГ „Щастливо детство</w:t>
      </w:r>
      <w:r w:rsidRPr="002D4BA0">
        <w:t>” (1318 лв.) - второстепенни</w:t>
      </w:r>
      <w:r>
        <w:t xml:space="preserve"> разпоредители с бюджети.</w:t>
      </w:r>
    </w:p>
    <w:p w:rsidR="00FE12D3" w:rsidRDefault="00FE12D3" w:rsidP="007C75A3">
      <w:pPr>
        <w:jc w:val="both"/>
        <w:rPr>
          <w:lang w:eastAsia="en-US"/>
        </w:rPr>
      </w:pPr>
      <w:r>
        <w:rPr>
          <w:lang w:val="ru-RU"/>
        </w:rPr>
        <w:t xml:space="preserve">            По време на финансовия одит са взети коригиращи счетоводни записвания</w:t>
      </w:r>
      <w:r>
        <w:rPr>
          <w:lang w:eastAsia="en-US"/>
        </w:rPr>
        <w:t xml:space="preserve">  с МО  № 6 и № 7 от м.декември 2013 г. </w:t>
      </w:r>
    </w:p>
    <w:p w:rsidR="00FE12D3" w:rsidRPr="002D36BE" w:rsidRDefault="00FE12D3" w:rsidP="007C75A3">
      <w:pPr>
        <w:jc w:val="both"/>
        <w:rPr>
          <w:lang w:eastAsia="en-US"/>
        </w:rPr>
      </w:pPr>
    </w:p>
    <w:p w:rsidR="00FE12D3" w:rsidRDefault="00FE12D3" w:rsidP="009C092E">
      <w:pPr>
        <w:jc w:val="both"/>
        <w:rPr>
          <w:lang w:eastAsia="en-US"/>
        </w:rPr>
      </w:pPr>
      <w:r>
        <w:t xml:space="preserve">            По време на финансовия одит на основание т.27 от ДДС № 12 от 18.12.2013 г., от одитираната организация се извършиха корекции на допуснатите отклонения Коригираните отчет за касово изпълнение на бюджетаи оборотна ведомост и баланс</w:t>
      </w:r>
      <w:r>
        <w:rPr>
          <w:rStyle w:val="FootnoteReference"/>
        </w:rPr>
        <w:footnoteReference w:customMarkFollows="1" w:id="8"/>
        <w:t>7</w:t>
      </w:r>
      <w:r>
        <w:t>се потвърдиха от Министерство на финансите на 13.03.2013 г.и на 01 април.2014</w:t>
      </w:r>
      <w:r>
        <w:rPr>
          <w:lang w:val="en-US"/>
        </w:rPr>
        <w:t> </w:t>
      </w:r>
      <w:r>
        <w:t>г. и се предоставиха на одитния екип в</w:t>
      </w:r>
      <w:r>
        <w:rPr>
          <w:lang w:eastAsia="en-US"/>
        </w:rPr>
        <w:t xml:space="preserve">Сметна палата, ИРМ гр. Велико Търново </w:t>
      </w:r>
      <w:r>
        <w:t>с писма</w:t>
      </w:r>
      <w:r>
        <w:rPr>
          <w:lang w:eastAsia="en-US"/>
        </w:rPr>
        <w:t xml:space="preserve">№ № РД 0400-87 </w:t>
      </w:r>
      <w:r>
        <w:t xml:space="preserve">и </w:t>
      </w:r>
      <w:r>
        <w:rPr>
          <w:lang w:eastAsia="en-US"/>
        </w:rPr>
        <w:t>РД 1600</w:t>
      </w:r>
      <w:r w:rsidRPr="009379D1">
        <w:rPr>
          <w:lang w:val="ru-RU" w:eastAsia="en-US"/>
        </w:rPr>
        <w:t>-</w:t>
      </w:r>
      <w:r>
        <w:rPr>
          <w:lang w:eastAsia="en-US"/>
        </w:rPr>
        <w:t xml:space="preserve">3 от 13.03.2014 г. и № РД </w:t>
      </w:r>
      <w:r w:rsidRPr="009379D1">
        <w:rPr>
          <w:lang w:val="ru-RU" w:eastAsia="en-US"/>
        </w:rPr>
        <w:t>1</w:t>
      </w:r>
      <w:r>
        <w:rPr>
          <w:lang w:val="ru-RU" w:eastAsia="en-US"/>
        </w:rPr>
        <w:t>600</w:t>
      </w:r>
      <w:r w:rsidRPr="002238E6">
        <w:rPr>
          <w:lang w:val="ru-RU" w:eastAsia="en-US"/>
        </w:rPr>
        <w:t>-</w:t>
      </w:r>
      <w:r w:rsidRPr="009379D1">
        <w:rPr>
          <w:lang w:val="ru-RU" w:eastAsia="en-US"/>
        </w:rPr>
        <w:t>6</w:t>
      </w:r>
      <w:r>
        <w:rPr>
          <w:lang w:eastAsia="en-US"/>
        </w:rPr>
        <w:t xml:space="preserve"> от </w:t>
      </w:r>
      <w:r w:rsidRPr="009C2698">
        <w:rPr>
          <w:lang w:val="ru-RU" w:eastAsia="en-US"/>
        </w:rPr>
        <w:t>01</w:t>
      </w:r>
      <w:r>
        <w:rPr>
          <w:lang w:eastAsia="en-US"/>
        </w:rPr>
        <w:t>.0</w:t>
      </w:r>
      <w:r w:rsidRPr="009C2698">
        <w:rPr>
          <w:lang w:val="ru-RU" w:eastAsia="en-US"/>
        </w:rPr>
        <w:t>4</w:t>
      </w:r>
      <w:r>
        <w:rPr>
          <w:lang w:eastAsia="en-US"/>
        </w:rPr>
        <w:t>.2014 г.</w:t>
      </w:r>
    </w:p>
    <w:p w:rsidR="00FE12D3" w:rsidRDefault="00FE12D3" w:rsidP="00F903B8">
      <w:pPr>
        <w:jc w:val="both"/>
      </w:pPr>
      <w:r>
        <w:t>Извършената промяна с коригиращите записвания</w:t>
      </w:r>
      <w:r>
        <w:rPr>
          <w:rStyle w:val="FootnoteReference"/>
        </w:rPr>
        <w:footnoteReference w:customMarkFollows="1" w:id="9"/>
        <w:t>8</w:t>
      </w:r>
      <w:r>
        <w:t xml:space="preserve"> е отразена в оборотната ведомост и баланса към 31.12.2013 г.</w:t>
      </w:r>
    </w:p>
    <w:p w:rsidR="00FE12D3" w:rsidRPr="00F903B8" w:rsidRDefault="00FE12D3" w:rsidP="00F903B8">
      <w:pPr>
        <w:jc w:val="both"/>
        <w:rPr>
          <w:lang w:val="ru-RU"/>
        </w:rPr>
      </w:pPr>
    </w:p>
    <w:p w:rsidR="00FE12D3" w:rsidRPr="00E426ED" w:rsidRDefault="00FE12D3" w:rsidP="00F903B8">
      <w:pPr>
        <w:jc w:val="both"/>
        <w:rPr>
          <w:lang w:val="ru-RU"/>
        </w:rPr>
      </w:pPr>
      <w:r>
        <w:t xml:space="preserve">            Извършените корекции</w:t>
      </w:r>
      <w:r>
        <w:rPr>
          <w:rStyle w:val="FootnoteReference"/>
        </w:rPr>
        <w:footnoteReference w:customMarkFollows="1" w:id="10"/>
        <w:t>9</w:t>
      </w:r>
      <w:r>
        <w:t xml:space="preserve"> са взети предвид при изготвянето на одитния доклад и одитното становище на ГФО за 2013 г.</w:t>
      </w:r>
    </w:p>
    <w:p w:rsidR="00FE12D3" w:rsidRPr="00D27951" w:rsidRDefault="00FE12D3" w:rsidP="007F5EDF">
      <w:pPr>
        <w:tabs>
          <w:tab w:val="left" w:pos="720"/>
        </w:tabs>
        <w:jc w:val="both"/>
        <w:rPr>
          <w:lang w:val="ru-RU"/>
        </w:rPr>
      </w:pPr>
    </w:p>
    <w:p w:rsidR="00FE12D3" w:rsidRPr="00782CED" w:rsidRDefault="00FE12D3" w:rsidP="0073466A">
      <w:pPr>
        <w:tabs>
          <w:tab w:val="left" w:pos="-294"/>
        </w:tabs>
        <w:spacing w:line="100" w:lineRule="atLeast"/>
        <w:ind w:firstLine="720"/>
        <w:jc w:val="both"/>
      </w:pPr>
      <w:r w:rsidRPr="00782CED">
        <w:t xml:space="preserve">Настоящият одитен доклад е изготвен в 2 еднообразни екземпляра, по един за </w:t>
      </w:r>
      <w:r>
        <w:t xml:space="preserve">община Горна Оряховица </w:t>
      </w:r>
      <w:r w:rsidRPr="00782CED">
        <w:t xml:space="preserve">и единза Сметната палата и е неразделна част от </w:t>
      </w:r>
      <w:r>
        <w:t>одитното становище</w:t>
      </w:r>
      <w:r w:rsidRPr="00782CED">
        <w:t xml:space="preserve">. </w:t>
      </w:r>
    </w:p>
    <w:p w:rsidR="00FE12D3" w:rsidRPr="00782CED" w:rsidRDefault="00FE12D3" w:rsidP="006E17CE">
      <w:pPr>
        <w:ind w:firstLine="720"/>
        <w:jc w:val="both"/>
      </w:pPr>
    </w:p>
    <w:p w:rsidR="00FE12D3" w:rsidRPr="00782CED" w:rsidRDefault="00FE12D3" w:rsidP="006E17CE">
      <w:pPr>
        <w:ind w:firstLine="720"/>
        <w:jc w:val="both"/>
      </w:pPr>
      <w:r w:rsidRPr="00782CED">
        <w:t xml:space="preserve">В подкрепа на констатациите са събрани </w:t>
      </w:r>
      <w:r>
        <w:t>12</w:t>
      </w:r>
      <w:r w:rsidRPr="00782CED">
        <w:t xml:space="preserve"> броя одитни доказателства, които заедно с работните документи, отразяващи отделните етапи на одитния процес, се намират в Сметната палата. При необходимост можете да се запознаете с тяхното съдържание на адрес: гр. </w:t>
      </w:r>
      <w:r>
        <w:t xml:space="preserve">Велико Търново, пл. „Център“ № 2, </w:t>
      </w:r>
      <w:r w:rsidRPr="00F41B20">
        <w:t>Сметна палата – изнесено работно място (ИРМ), Велико Търново</w:t>
      </w:r>
      <w:r w:rsidRPr="00782CED">
        <w:rPr>
          <w:rStyle w:val="FootnoteReference"/>
          <w:b/>
          <w:bCs/>
          <w:i/>
          <w:iCs/>
          <w:sz w:val="20"/>
          <w:szCs w:val="20"/>
        </w:rPr>
        <w:footnoteReference w:id="11"/>
      </w:r>
      <w:r w:rsidRPr="00782CED">
        <w:t>.</w:t>
      </w:r>
    </w:p>
    <w:p w:rsidR="00FE12D3" w:rsidRPr="00782CED" w:rsidRDefault="00FE12D3" w:rsidP="00D40BF9">
      <w:pPr>
        <w:spacing w:before="120"/>
        <w:jc w:val="both"/>
      </w:pPr>
    </w:p>
    <w:p w:rsidR="00FE12D3" w:rsidRPr="00782CED" w:rsidRDefault="00FE12D3" w:rsidP="005746C7">
      <w:pPr>
        <w:ind w:left="6030"/>
        <w:jc w:val="both"/>
        <w:rPr>
          <w:i/>
          <w:iCs/>
        </w:rPr>
      </w:pPr>
    </w:p>
    <w:p w:rsidR="00FE12D3" w:rsidRDefault="00FE12D3" w:rsidP="00164C80">
      <w:pPr>
        <w:tabs>
          <w:tab w:val="left" w:pos="0"/>
        </w:tabs>
        <w:ind w:firstLine="357"/>
        <w:jc w:val="center"/>
        <w:rPr>
          <w:b/>
          <w:bCs/>
          <w:lang w:val="en-US"/>
        </w:rPr>
      </w:pPr>
    </w:p>
    <w:p w:rsidR="00FE12D3" w:rsidRDefault="00FE12D3" w:rsidP="00164C80">
      <w:pPr>
        <w:tabs>
          <w:tab w:val="left" w:pos="0"/>
        </w:tabs>
        <w:ind w:firstLine="357"/>
        <w:jc w:val="center"/>
        <w:rPr>
          <w:b/>
          <w:bCs/>
          <w:lang w:val="en-US"/>
        </w:rPr>
      </w:pPr>
    </w:p>
    <w:p w:rsidR="00FE12D3" w:rsidRDefault="00FE12D3" w:rsidP="00164C80">
      <w:pPr>
        <w:tabs>
          <w:tab w:val="left" w:pos="0"/>
        </w:tabs>
        <w:ind w:firstLine="357"/>
        <w:jc w:val="center"/>
        <w:rPr>
          <w:b/>
          <w:bCs/>
          <w:lang w:val="en-US"/>
        </w:rPr>
      </w:pPr>
    </w:p>
    <w:p w:rsidR="00FE12D3" w:rsidRDefault="00FE12D3" w:rsidP="00164C80">
      <w:pPr>
        <w:tabs>
          <w:tab w:val="left" w:pos="0"/>
        </w:tabs>
        <w:ind w:firstLine="357"/>
        <w:jc w:val="center"/>
        <w:rPr>
          <w:b/>
          <w:bCs/>
          <w:lang w:val="en-US"/>
        </w:rPr>
      </w:pPr>
    </w:p>
    <w:p w:rsidR="00FE12D3" w:rsidRDefault="00FE12D3" w:rsidP="00164C80">
      <w:pPr>
        <w:tabs>
          <w:tab w:val="left" w:pos="0"/>
        </w:tabs>
        <w:ind w:firstLine="357"/>
        <w:jc w:val="center"/>
        <w:rPr>
          <w:b/>
          <w:bCs/>
          <w:lang w:val="en-US"/>
        </w:rPr>
      </w:pPr>
    </w:p>
    <w:p w:rsidR="00FE12D3" w:rsidRDefault="00FE12D3" w:rsidP="00164C80">
      <w:pPr>
        <w:tabs>
          <w:tab w:val="left" w:pos="0"/>
        </w:tabs>
        <w:ind w:firstLine="357"/>
        <w:jc w:val="center"/>
        <w:rPr>
          <w:b/>
          <w:bCs/>
          <w:lang w:val="en-US"/>
        </w:rPr>
      </w:pPr>
    </w:p>
    <w:p w:rsidR="00FE12D3" w:rsidRDefault="00FE12D3" w:rsidP="00164C80">
      <w:pPr>
        <w:tabs>
          <w:tab w:val="left" w:pos="0"/>
        </w:tabs>
        <w:ind w:firstLine="357"/>
        <w:jc w:val="center"/>
        <w:rPr>
          <w:b/>
          <w:bCs/>
          <w:lang w:val="en-US"/>
        </w:rPr>
      </w:pPr>
    </w:p>
    <w:p w:rsidR="00FE12D3" w:rsidRDefault="00FE12D3" w:rsidP="00164C80">
      <w:pPr>
        <w:tabs>
          <w:tab w:val="left" w:pos="0"/>
        </w:tabs>
        <w:ind w:firstLine="357"/>
        <w:jc w:val="center"/>
        <w:rPr>
          <w:b/>
          <w:bCs/>
          <w:lang w:val="en-US"/>
        </w:rPr>
      </w:pPr>
    </w:p>
    <w:p w:rsidR="00FE12D3" w:rsidRDefault="00FE12D3" w:rsidP="00164C80">
      <w:pPr>
        <w:tabs>
          <w:tab w:val="left" w:pos="0"/>
        </w:tabs>
        <w:ind w:firstLine="357"/>
        <w:jc w:val="center"/>
        <w:rPr>
          <w:b/>
          <w:bCs/>
          <w:lang w:val="en-US"/>
        </w:rPr>
      </w:pPr>
    </w:p>
    <w:p w:rsidR="00FE12D3" w:rsidRDefault="00FE12D3" w:rsidP="00164C80">
      <w:pPr>
        <w:tabs>
          <w:tab w:val="left" w:pos="0"/>
        </w:tabs>
        <w:ind w:firstLine="357"/>
        <w:jc w:val="center"/>
        <w:rPr>
          <w:b/>
          <w:bCs/>
          <w:lang w:val="en-US"/>
        </w:rPr>
      </w:pPr>
    </w:p>
    <w:p w:rsidR="00FE12D3" w:rsidRDefault="00FE12D3" w:rsidP="00164C80">
      <w:pPr>
        <w:tabs>
          <w:tab w:val="left" w:pos="0"/>
        </w:tabs>
        <w:ind w:firstLine="357"/>
        <w:jc w:val="center"/>
        <w:rPr>
          <w:b/>
          <w:bCs/>
          <w:lang w:val="en-US"/>
        </w:rPr>
      </w:pPr>
    </w:p>
    <w:p w:rsidR="00FE12D3" w:rsidRDefault="00FE12D3" w:rsidP="00164C80">
      <w:pPr>
        <w:tabs>
          <w:tab w:val="left" w:pos="0"/>
        </w:tabs>
        <w:ind w:firstLine="357"/>
        <w:jc w:val="center"/>
        <w:rPr>
          <w:b/>
          <w:bCs/>
          <w:lang w:val="en-US"/>
        </w:rPr>
      </w:pPr>
    </w:p>
    <w:p w:rsidR="00FE12D3" w:rsidRDefault="00FE12D3" w:rsidP="00164C80">
      <w:pPr>
        <w:tabs>
          <w:tab w:val="left" w:pos="0"/>
        </w:tabs>
        <w:ind w:firstLine="357"/>
        <w:jc w:val="center"/>
        <w:rPr>
          <w:b/>
          <w:bCs/>
          <w:lang w:val="en-US"/>
        </w:rPr>
      </w:pPr>
    </w:p>
    <w:p w:rsidR="00FE12D3" w:rsidRDefault="00FE12D3" w:rsidP="00164C80">
      <w:pPr>
        <w:tabs>
          <w:tab w:val="left" w:pos="0"/>
        </w:tabs>
        <w:ind w:firstLine="357"/>
        <w:jc w:val="center"/>
        <w:rPr>
          <w:b/>
          <w:bCs/>
          <w:lang w:val="en-US"/>
        </w:rPr>
      </w:pPr>
    </w:p>
    <w:p w:rsidR="00FE12D3" w:rsidRDefault="00FE12D3" w:rsidP="00164C80">
      <w:pPr>
        <w:tabs>
          <w:tab w:val="left" w:pos="0"/>
        </w:tabs>
        <w:ind w:firstLine="357"/>
        <w:jc w:val="center"/>
        <w:rPr>
          <w:b/>
          <w:bCs/>
          <w:lang w:val="en-US"/>
        </w:rPr>
      </w:pPr>
    </w:p>
    <w:p w:rsidR="00FE12D3" w:rsidRDefault="00FE12D3" w:rsidP="00164C80">
      <w:pPr>
        <w:tabs>
          <w:tab w:val="left" w:pos="0"/>
        </w:tabs>
        <w:ind w:firstLine="357"/>
        <w:jc w:val="center"/>
        <w:rPr>
          <w:b/>
          <w:bCs/>
          <w:lang w:val="en-US"/>
        </w:rPr>
      </w:pPr>
    </w:p>
    <w:p w:rsidR="00FE12D3" w:rsidRDefault="00FE12D3" w:rsidP="00164C80">
      <w:pPr>
        <w:tabs>
          <w:tab w:val="left" w:pos="0"/>
        </w:tabs>
        <w:ind w:firstLine="357"/>
        <w:jc w:val="center"/>
        <w:rPr>
          <w:b/>
          <w:bCs/>
          <w:lang w:val="en-US"/>
        </w:rPr>
      </w:pPr>
    </w:p>
    <w:p w:rsidR="00FE12D3" w:rsidRDefault="00FE12D3" w:rsidP="00164C80">
      <w:pPr>
        <w:tabs>
          <w:tab w:val="left" w:pos="0"/>
        </w:tabs>
        <w:ind w:firstLine="357"/>
        <w:jc w:val="center"/>
        <w:rPr>
          <w:b/>
          <w:bCs/>
          <w:lang w:val="en-US"/>
        </w:rPr>
      </w:pPr>
    </w:p>
    <w:p w:rsidR="00FE12D3" w:rsidRDefault="00FE12D3" w:rsidP="00164C80">
      <w:pPr>
        <w:tabs>
          <w:tab w:val="left" w:pos="0"/>
        </w:tabs>
        <w:ind w:firstLine="357"/>
        <w:jc w:val="center"/>
        <w:rPr>
          <w:b/>
          <w:bCs/>
          <w:lang w:val="en-US"/>
        </w:rPr>
      </w:pPr>
    </w:p>
    <w:p w:rsidR="00FE12D3" w:rsidRDefault="00FE12D3" w:rsidP="00164C80">
      <w:pPr>
        <w:tabs>
          <w:tab w:val="left" w:pos="0"/>
        </w:tabs>
        <w:ind w:firstLine="357"/>
        <w:jc w:val="center"/>
        <w:rPr>
          <w:b/>
          <w:bCs/>
          <w:lang w:val="en-US"/>
        </w:rPr>
      </w:pPr>
    </w:p>
    <w:p w:rsidR="00FE12D3" w:rsidRDefault="00FE12D3" w:rsidP="00164C80">
      <w:pPr>
        <w:tabs>
          <w:tab w:val="left" w:pos="0"/>
        </w:tabs>
        <w:ind w:firstLine="357"/>
        <w:jc w:val="center"/>
        <w:rPr>
          <w:b/>
          <w:bCs/>
          <w:lang w:val="en-US"/>
        </w:rPr>
      </w:pPr>
    </w:p>
    <w:p w:rsidR="00FE12D3" w:rsidRDefault="00FE12D3" w:rsidP="00164C80">
      <w:pPr>
        <w:tabs>
          <w:tab w:val="left" w:pos="0"/>
        </w:tabs>
        <w:ind w:firstLine="357"/>
        <w:jc w:val="center"/>
        <w:rPr>
          <w:b/>
          <w:bCs/>
          <w:lang w:val="en-US"/>
        </w:rPr>
      </w:pPr>
    </w:p>
    <w:p w:rsidR="00FE12D3" w:rsidRDefault="00FE12D3" w:rsidP="00164C80">
      <w:pPr>
        <w:tabs>
          <w:tab w:val="left" w:pos="0"/>
        </w:tabs>
        <w:ind w:firstLine="357"/>
        <w:jc w:val="center"/>
        <w:rPr>
          <w:b/>
          <w:bCs/>
          <w:lang w:val="en-US"/>
        </w:rPr>
      </w:pPr>
    </w:p>
    <w:p w:rsidR="00FE12D3" w:rsidRDefault="00FE12D3" w:rsidP="00164C80">
      <w:pPr>
        <w:tabs>
          <w:tab w:val="left" w:pos="0"/>
        </w:tabs>
        <w:ind w:firstLine="357"/>
        <w:jc w:val="center"/>
        <w:rPr>
          <w:b/>
          <w:bCs/>
          <w:lang w:val="en-US"/>
        </w:rPr>
      </w:pPr>
    </w:p>
    <w:p w:rsidR="00FE12D3" w:rsidRDefault="00FE12D3" w:rsidP="00164C80">
      <w:pPr>
        <w:tabs>
          <w:tab w:val="left" w:pos="0"/>
        </w:tabs>
        <w:ind w:firstLine="357"/>
        <w:jc w:val="center"/>
        <w:rPr>
          <w:b/>
          <w:bCs/>
          <w:lang w:val="en-US"/>
        </w:rPr>
      </w:pPr>
    </w:p>
    <w:p w:rsidR="00FE12D3" w:rsidRDefault="00FE12D3" w:rsidP="00164C80">
      <w:pPr>
        <w:tabs>
          <w:tab w:val="left" w:pos="0"/>
        </w:tabs>
        <w:ind w:firstLine="357"/>
        <w:jc w:val="center"/>
        <w:rPr>
          <w:b/>
          <w:bCs/>
          <w:lang w:val="en-US"/>
        </w:rPr>
      </w:pPr>
    </w:p>
    <w:p w:rsidR="00FE12D3" w:rsidRDefault="00FE12D3" w:rsidP="00164C80">
      <w:pPr>
        <w:tabs>
          <w:tab w:val="left" w:pos="0"/>
        </w:tabs>
        <w:ind w:firstLine="357"/>
        <w:jc w:val="center"/>
        <w:rPr>
          <w:b/>
          <w:bCs/>
          <w:lang w:val="en-US"/>
        </w:rPr>
      </w:pPr>
    </w:p>
    <w:p w:rsidR="00FE12D3" w:rsidRDefault="00FE12D3" w:rsidP="00164C80">
      <w:pPr>
        <w:tabs>
          <w:tab w:val="left" w:pos="0"/>
        </w:tabs>
        <w:ind w:firstLine="357"/>
        <w:jc w:val="center"/>
        <w:rPr>
          <w:b/>
          <w:bCs/>
          <w:lang w:val="en-US"/>
        </w:rPr>
      </w:pPr>
    </w:p>
    <w:p w:rsidR="00FE12D3" w:rsidRDefault="00FE12D3" w:rsidP="00164C80">
      <w:pPr>
        <w:tabs>
          <w:tab w:val="left" w:pos="0"/>
        </w:tabs>
        <w:ind w:firstLine="357"/>
        <w:jc w:val="center"/>
        <w:rPr>
          <w:b/>
          <w:bCs/>
          <w:lang w:val="en-US"/>
        </w:rPr>
      </w:pPr>
    </w:p>
    <w:p w:rsidR="00FE12D3" w:rsidRDefault="00FE12D3" w:rsidP="00164C80">
      <w:pPr>
        <w:tabs>
          <w:tab w:val="left" w:pos="0"/>
        </w:tabs>
        <w:ind w:firstLine="357"/>
        <w:jc w:val="center"/>
        <w:rPr>
          <w:b/>
          <w:bCs/>
          <w:lang w:val="en-US"/>
        </w:rPr>
      </w:pPr>
    </w:p>
    <w:p w:rsidR="00FE12D3" w:rsidRDefault="00FE12D3" w:rsidP="00164C80">
      <w:pPr>
        <w:tabs>
          <w:tab w:val="left" w:pos="0"/>
        </w:tabs>
        <w:ind w:firstLine="357"/>
        <w:jc w:val="center"/>
        <w:rPr>
          <w:b/>
          <w:bCs/>
          <w:lang w:val="en-US"/>
        </w:rPr>
      </w:pPr>
    </w:p>
    <w:p w:rsidR="00FE12D3" w:rsidRDefault="00FE12D3" w:rsidP="00164C80">
      <w:pPr>
        <w:tabs>
          <w:tab w:val="left" w:pos="0"/>
        </w:tabs>
        <w:ind w:firstLine="357"/>
        <w:jc w:val="center"/>
        <w:rPr>
          <w:b/>
          <w:bCs/>
          <w:lang w:val="en-US"/>
        </w:rPr>
      </w:pPr>
    </w:p>
    <w:p w:rsidR="00FE12D3" w:rsidRPr="00782CED" w:rsidRDefault="00FE12D3" w:rsidP="00164C80">
      <w:pPr>
        <w:tabs>
          <w:tab w:val="left" w:pos="0"/>
        </w:tabs>
        <w:ind w:firstLine="357"/>
        <w:jc w:val="center"/>
        <w:rPr>
          <w:b/>
          <w:bCs/>
        </w:rPr>
      </w:pPr>
      <w:r w:rsidRPr="00782CED">
        <w:rPr>
          <w:b/>
          <w:bCs/>
        </w:rPr>
        <w:t>ОПИС НА ОДИТНИТЕ ДОКАЗАТЕЛСТВА КЪМ ОДИТЕН ДОКЛАД</w:t>
      </w:r>
      <w:r>
        <w:rPr>
          <w:b/>
          <w:bCs/>
        </w:rPr>
        <w:t xml:space="preserve">                   № 0100053013</w:t>
      </w:r>
    </w:p>
    <w:p w:rsidR="00FE12D3" w:rsidRPr="00782CED" w:rsidRDefault="00FE12D3" w:rsidP="00164C80">
      <w:pPr>
        <w:tabs>
          <w:tab w:val="left" w:pos="0"/>
        </w:tabs>
        <w:ind w:firstLine="357"/>
        <w:jc w:val="center"/>
        <w:rPr>
          <w:b/>
          <w:bCs/>
        </w:rPr>
      </w:pPr>
    </w:p>
    <w:tbl>
      <w:tblPr>
        <w:tblW w:w="9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5"/>
        <w:gridCol w:w="7346"/>
        <w:gridCol w:w="1277"/>
      </w:tblGrid>
      <w:tr w:rsidR="00FE12D3" w:rsidRPr="00782CED">
        <w:trPr>
          <w:jc w:val="center"/>
        </w:trPr>
        <w:tc>
          <w:tcPr>
            <w:tcW w:w="1255" w:type="dxa"/>
            <w:shd w:val="clear" w:color="auto" w:fill="EAF1DD"/>
            <w:vAlign w:val="center"/>
          </w:tcPr>
          <w:p w:rsidR="00FE12D3" w:rsidRPr="00782CED" w:rsidRDefault="00FE12D3" w:rsidP="00B1775C">
            <w:pPr>
              <w:jc w:val="center"/>
              <w:rPr>
                <w:b/>
                <w:bCs/>
              </w:rPr>
            </w:pPr>
            <w:r w:rsidRPr="00782CED">
              <w:rPr>
                <w:b/>
                <w:bCs/>
              </w:rPr>
              <w:t xml:space="preserve">№ </w:t>
            </w:r>
          </w:p>
        </w:tc>
        <w:tc>
          <w:tcPr>
            <w:tcW w:w="7346" w:type="dxa"/>
            <w:shd w:val="clear" w:color="auto" w:fill="EAF1DD"/>
            <w:vAlign w:val="center"/>
          </w:tcPr>
          <w:p w:rsidR="00FE12D3" w:rsidRPr="00782CED" w:rsidRDefault="00FE12D3" w:rsidP="00164C80">
            <w:pPr>
              <w:jc w:val="center"/>
              <w:rPr>
                <w:b/>
                <w:bCs/>
              </w:rPr>
            </w:pPr>
            <w:r w:rsidRPr="00782CED">
              <w:rPr>
                <w:b/>
                <w:bCs/>
              </w:rPr>
              <w:t>Одитни доказателства</w:t>
            </w:r>
          </w:p>
        </w:tc>
        <w:tc>
          <w:tcPr>
            <w:tcW w:w="1277" w:type="dxa"/>
            <w:shd w:val="clear" w:color="auto" w:fill="EAF1DD"/>
            <w:vAlign w:val="center"/>
          </w:tcPr>
          <w:p w:rsidR="00FE12D3" w:rsidRPr="00782CED" w:rsidRDefault="00FE12D3" w:rsidP="00164C80">
            <w:pPr>
              <w:jc w:val="center"/>
              <w:rPr>
                <w:b/>
                <w:bCs/>
              </w:rPr>
            </w:pPr>
            <w:r w:rsidRPr="00782CED">
              <w:rPr>
                <w:b/>
                <w:bCs/>
              </w:rPr>
              <w:t>Бройстраници</w:t>
            </w:r>
          </w:p>
        </w:tc>
      </w:tr>
      <w:tr w:rsidR="00FE12D3" w:rsidRPr="00782CED">
        <w:trPr>
          <w:jc w:val="center"/>
        </w:trPr>
        <w:tc>
          <w:tcPr>
            <w:tcW w:w="1255" w:type="dxa"/>
            <w:vAlign w:val="center"/>
          </w:tcPr>
          <w:p w:rsidR="00FE12D3" w:rsidRPr="00782CED" w:rsidRDefault="00FE12D3" w:rsidP="00F265F7">
            <w:r>
              <w:t>ОД № 01-</w:t>
            </w:r>
            <w:r w:rsidRPr="00F265F7">
              <w:rPr>
                <w:i/>
                <w:iCs/>
              </w:rPr>
              <w:t>ГФО-48</w:t>
            </w:r>
          </w:p>
        </w:tc>
        <w:tc>
          <w:tcPr>
            <w:tcW w:w="7346" w:type="dxa"/>
            <w:vAlign w:val="center"/>
          </w:tcPr>
          <w:p w:rsidR="00FE12D3" w:rsidRPr="00782CED" w:rsidRDefault="00FE12D3" w:rsidP="001C3CA5">
            <w:pPr>
              <w:jc w:val="both"/>
            </w:pPr>
            <w:r>
              <w:t>П</w:t>
            </w:r>
            <w:r w:rsidRPr="00722AF1">
              <w:t>роверка на взаимовръзките между разходните счетоводни сметки от Сметкоплана на бюджетните предприятия (СБП) и разходните параграфи на Единната бюджетна класификация (ЕБК) област „Извънбюджетните сметки и фондове“Приватизация, НС-КСФ и РА</w:t>
            </w:r>
          </w:p>
        </w:tc>
        <w:tc>
          <w:tcPr>
            <w:tcW w:w="1277" w:type="dxa"/>
            <w:vAlign w:val="center"/>
          </w:tcPr>
          <w:p w:rsidR="00FE12D3" w:rsidRPr="00782CED" w:rsidRDefault="00FE12D3" w:rsidP="00524B05">
            <w:pPr>
              <w:jc w:val="center"/>
            </w:pPr>
            <w:r>
              <w:t>5</w:t>
            </w:r>
          </w:p>
        </w:tc>
      </w:tr>
      <w:tr w:rsidR="00FE12D3" w:rsidRPr="00782CED">
        <w:trPr>
          <w:jc w:val="center"/>
        </w:trPr>
        <w:tc>
          <w:tcPr>
            <w:tcW w:w="1255" w:type="dxa"/>
            <w:vAlign w:val="center"/>
          </w:tcPr>
          <w:p w:rsidR="00FE12D3" w:rsidRPr="00782CED" w:rsidRDefault="00FE12D3" w:rsidP="00524B05">
            <w:pPr>
              <w:jc w:val="center"/>
            </w:pPr>
            <w:r>
              <w:t>ОД № 02-</w:t>
            </w:r>
            <w:r w:rsidRPr="00F265F7">
              <w:rPr>
                <w:i/>
                <w:iCs/>
              </w:rPr>
              <w:t>ГФО-4</w:t>
            </w:r>
            <w:r>
              <w:rPr>
                <w:i/>
                <w:iCs/>
              </w:rPr>
              <w:t>9</w:t>
            </w:r>
          </w:p>
        </w:tc>
        <w:tc>
          <w:tcPr>
            <w:tcW w:w="7346" w:type="dxa"/>
            <w:vAlign w:val="center"/>
          </w:tcPr>
          <w:p w:rsidR="00FE12D3" w:rsidRPr="00782CED" w:rsidRDefault="00FE12D3" w:rsidP="001C3CA5">
            <w:pPr>
              <w:jc w:val="both"/>
            </w:pPr>
            <w:r>
              <w:t>П</w:t>
            </w:r>
            <w:r w:rsidRPr="00722AF1">
              <w:t>роверка на взаимовръзките между разходните счетоводни сметки от Сметкоплана на бюджетните предприятия (СБП) и разходните параграфи на Единната бюджетна класификация (ЕБК) област „Бюджет“</w:t>
            </w:r>
          </w:p>
        </w:tc>
        <w:tc>
          <w:tcPr>
            <w:tcW w:w="1277" w:type="dxa"/>
            <w:vAlign w:val="center"/>
          </w:tcPr>
          <w:p w:rsidR="00FE12D3" w:rsidRPr="00782CED" w:rsidRDefault="00FE12D3" w:rsidP="00524B05">
            <w:pPr>
              <w:jc w:val="center"/>
            </w:pPr>
            <w:r>
              <w:t>9</w:t>
            </w:r>
          </w:p>
        </w:tc>
      </w:tr>
      <w:tr w:rsidR="00FE12D3" w:rsidRPr="00782CED">
        <w:trPr>
          <w:jc w:val="center"/>
        </w:trPr>
        <w:tc>
          <w:tcPr>
            <w:tcW w:w="1255" w:type="dxa"/>
            <w:vAlign w:val="center"/>
          </w:tcPr>
          <w:p w:rsidR="00FE12D3" w:rsidRPr="00782CED" w:rsidRDefault="00FE12D3" w:rsidP="006B743F">
            <w:pPr>
              <w:jc w:val="center"/>
            </w:pPr>
            <w:r>
              <w:t>ОД № 03-</w:t>
            </w:r>
            <w:r>
              <w:rPr>
                <w:i/>
                <w:iCs/>
              </w:rPr>
              <w:t>ГФО-59</w:t>
            </w:r>
          </w:p>
        </w:tc>
        <w:tc>
          <w:tcPr>
            <w:tcW w:w="7346" w:type="dxa"/>
            <w:vAlign w:val="center"/>
          </w:tcPr>
          <w:p w:rsidR="00FE12D3" w:rsidRPr="00782CED" w:rsidRDefault="00FE12D3" w:rsidP="001C3CA5">
            <w:pPr>
              <w:jc w:val="both"/>
            </w:pPr>
            <w:r>
              <w:t>Проверка на начисляването на провизии,</w:t>
            </w:r>
            <w:r w:rsidRPr="0064017B">
              <w:t xml:space="preserve"> приходи и разходи по корективни сметки в края на отчетната годин</w:t>
            </w:r>
            <w:r>
              <w:t>а</w:t>
            </w:r>
          </w:p>
        </w:tc>
        <w:tc>
          <w:tcPr>
            <w:tcW w:w="1277" w:type="dxa"/>
            <w:vAlign w:val="center"/>
          </w:tcPr>
          <w:p w:rsidR="00FE12D3" w:rsidRPr="00782CED" w:rsidRDefault="00FE12D3" w:rsidP="00524B05">
            <w:pPr>
              <w:jc w:val="center"/>
            </w:pPr>
            <w:r>
              <w:t>4</w:t>
            </w:r>
          </w:p>
        </w:tc>
      </w:tr>
      <w:tr w:rsidR="00FE12D3" w:rsidRPr="00782CED">
        <w:trPr>
          <w:jc w:val="center"/>
        </w:trPr>
        <w:tc>
          <w:tcPr>
            <w:tcW w:w="1255" w:type="dxa"/>
            <w:vAlign w:val="center"/>
          </w:tcPr>
          <w:p w:rsidR="00FE12D3" w:rsidRPr="00782CED" w:rsidRDefault="00FE12D3" w:rsidP="00524B05">
            <w:pPr>
              <w:jc w:val="center"/>
            </w:pPr>
            <w:r>
              <w:t>ОД № 04-</w:t>
            </w:r>
            <w:r>
              <w:rPr>
                <w:i/>
                <w:iCs/>
              </w:rPr>
              <w:t>ГФО-61</w:t>
            </w:r>
          </w:p>
        </w:tc>
        <w:tc>
          <w:tcPr>
            <w:tcW w:w="7346" w:type="dxa"/>
            <w:vAlign w:val="center"/>
          </w:tcPr>
          <w:p w:rsidR="00FE12D3" w:rsidRPr="00782CED" w:rsidRDefault="00FE12D3" w:rsidP="001C3CA5">
            <w:pPr>
              <w:jc w:val="both"/>
            </w:pPr>
            <w:r w:rsidRPr="00A44DDC">
              <w:t>Проверка на взаимовръзките между счетоводните сметки за трансфери от Сметкоплана на бюджетните предприятия (СБП) и параграфите за трансфери на Единната бюджетна класификация (ЕБК)</w:t>
            </w:r>
          </w:p>
        </w:tc>
        <w:tc>
          <w:tcPr>
            <w:tcW w:w="1277" w:type="dxa"/>
            <w:vAlign w:val="center"/>
          </w:tcPr>
          <w:p w:rsidR="00FE12D3" w:rsidRPr="00782CED" w:rsidRDefault="00FE12D3" w:rsidP="00524B05">
            <w:pPr>
              <w:jc w:val="center"/>
            </w:pPr>
            <w:r>
              <w:t>6</w:t>
            </w:r>
          </w:p>
        </w:tc>
      </w:tr>
      <w:tr w:rsidR="00FE12D3" w:rsidRPr="00782CED">
        <w:trPr>
          <w:jc w:val="center"/>
        </w:trPr>
        <w:tc>
          <w:tcPr>
            <w:tcW w:w="1255" w:type="dxa"/>
            <w:vAlign w:val="center"/>
          </w:tcPr>
          <w:p w:rsidR="00FE12D3" w:rsidRPr="00782CED" w:rsidRDefault="00FE12D3" w:rsidP="00524B05">
            <w:pPr>
              <w:jc w:val="center"/>
            </w:pPr>
            <w:r>
              <w:t>ОД № 05-</w:t>
            </w:r>
            <w:r>
              <w:rPr>
                <w:i/>
                <w:iCs/>
              </w:rPr>
              <w:t>ГФО-69</w:t>
            </w:r>
          </w:p>
        </w:tc>
        <w:tc>
          <w:tcPr>
            <w:tcW w:w="7346" w:type="dxa"/>
            <w:vAlign w:val="center"/>
          </w:tcPr>
          <w:p w:rsidR="00FE12D3" w:rsidRPr="00782CED" w:rsidRDefault="00FE12D3" w:rsidP="001C3CA5">
            <w:pPr>
              <w:jc w:val="both"/>
            </w:pPr>
            <w:r>
              <w:t>Т</w:t>
            </w:r>
            <w:r w:rsidRPr="00722AF1">
              <w:t>естове по същество за  осчетоводяване на разходи по сметка 2071“Незавършено строителство, производство и основен ремонт“   в оборотната  ведомост за периода от 01.01.2013 г. до 31.12.2013 г. област „Бюджет“ в Общинска администрация -  Горна Оряховица</w:t>
            </w:r>
          </w:p>
        </w:tc>
        <w:tc>
          <w:tcPr>
            <w:tcW w:w="1277" w:type="dxa"/>
            <w:vAlign w:val="center"/>
          </w:tcPr>
          <w:p w:rsidR="00FE12D3" w:rsidRPr="00782CED" w:rsidRDefault="00FE12D3" w:rsidP="00524B05">
            <w:pPr>
              <w:jc w:val="center"/>
            </w:pPr>
            <w:r>
              <w:t>3</w:t>
            </w:r>
          </w:p>
        </w:tc>
      </w:tr>
      <w:tr w:rsidR="00FE12D3" w:rsidRPr="00782CED">
        <w:trPr>
          <w:jc w:val="center"/>
        </w:trPr>
        <w:tc>
          <w:tcPr>
            <w:tcW w:w="1255" w:type="dxa"/>
            <w:vAlign w:val="center"/>
          </w:tcPr>
          <w:p w:rsidR="00FE12D3" w:rsidRPr="00782CED" w:rsidRDefault="00FE12D3" w:rsidP="00524B05">
            <w:pPr>
              <w:jc w:val="center"/>
            </w:pPr>
            <w:r>
              <w:t>ОД № 06-</w:t>
            </w:r>
            <w:r>
              <w:rPr>
                <w:i/>
                <w:iCs/>
              </w:rPr>
              <w:t>ГФО-74</w:t>
            </w:r>
          </w:p>
        </w:tc>
        <w:tc>
          <w:tcPr>
            <w:tcW w:w="7346" w:type="dxa"/>
            <w:vAlign w:val="center"/>
          </w:tcPr>
          <w:p w:rsidR="00FE12D3" w:rsidRPr="00782CED" w:rsidRDefault="00FE12D3" w:rsidP="001C3CA5">
            <w:pPr>
              <w:jc w:val="both"/>
            </w:pPr>
            <w:r>
              <w:t>Т</w:t>
            </w:r>
            <w:r w:rsidRPr="00722AF1">
              <w:t>естове по същество за  осчетоводяване на разходи по сметка 2071“Незавършено строителство, производство и основен ремонт“   в оборотната  ведомост за периода от 01.01.2013 г. до 31.12.2013 г. област „ИБСФ“ в Общинска администрация -  Горна Оряховица</w:t>
            </w:r>
          </w:p>
        </w:tc>
        <w:tc>
          <w:tcPr>
            <w:tcW w:w="1277" w:type="dxa"/>
            <w:vAlign w:val="center"/>
          </w:tcPr>
          <w:p w:rsidR="00FE12D3" w:rsidRPr="00782CED" w:rsidRDefault="00FE12D3" w:rsidP="00524B05">
            <w:pPr>
              <w:jc w:val="center"/>
            </w:pPr>
            <w:r>
              <w:t>2</w:t>
            </w:r>
          </w:p>
        </w:tc>
      </w:tr>
      <w:tr w:rsidR="00FE12D3" w:rsidRPr="00782CED">
        <w:trPr>
          <w:jc w:val="center"/>
        </w:trPr>
        <w:tc>
          <w:tcPr>
            <w:tcW w:w="1255" w:type="dxa"/>
            <w:vAlign w:val="center"/>
          </w:tcPr>
          <w:p w:rsidR="00FE12D3" w:rsidRPr="00782CED" w:rsidRDefault="00FE12D3" w:rsidP="00524B05">
            <w:pPr>
              <w:jc w:val="center"/>
            </w:pPr>
            <w:r>
              <w:t>ОД № 07-</w:t>
            </w:r>
            <w:r>
              <w:rPr>
                <w:i/>
                <w:iCs/>
              </w:rPr>
              <w:t>ГФО-78</w:t>
            </w:r>
          </w:p>
        </w:tc>
        <w:tc>
          <w:tcPr>
            <w:tcW w:w="7346" w:type="dxa"/>
            <w:vAlign w:val="center"/>
          </w:tcPr>
          <w:p w:rsidR="00FE12D3" w:rsidRPr="00782CED" w:rsidRDefault="00FE12D3" w:rsidP="003F441A">
            <w:r>
              <w:t>П</w:t>
            </w:r>
            <w:r w:rsidRPr="00722AF1">
              <w:t>роверка на приходи и разходи от стопанска дейност</w:t>
            </w:r>
          </w:p>
        </w:tc>
        <w:tc>
          <w:tcPr>
            <w:tcW w:w="1277" w:type="dxa"/>
            <w:vAlign w:val="center"/>
          </w:tcPr>
          <w:p w:rsidR="00FE12D3" w:rsidRPr="00782CED" w:rsidRDefault="00FE12D3" w:rsidP="00524B05">
            <w:pPr>
              <w:jc w:val="center"/>
            </w:pPr>
            <w:r>
              <w:t>4</w:t>
            </w:r>
          </w:p>
        </w:tc>
      </w:tr>
      <w:tr w:rsidR="00FE12D3" w:rsidRPr="00782CED">
        <w:trPr>
          <w:jc w:val="center"/>
        </w:trPr>
        <w:tc>
          <w:tcPr>
            <w:tcW w:w="1255" w:type="dxa"/>
            <w:vAlign w:val="center"/>
          </w:tcPr>
          <w:p w:rsidR="00FE12D3" w:rsidRPr="00782CED" w:rsidRDefault="00FE12D3" w:rsidP="00860412">
            <w:pPr>
              <w:jc w:val="center"/>
            </w:pPr>
            <w:r>
              <w:t>ОД № 08-</w:t>
            </w:r>
            <w:r w:rsidRPr="001C3CA5">
              <w:rPr>
                <w:i/>
                <w:iCs/>
              </w:rPr>
              <w:t>ГФО</w:t>
            </w:r>
          </w:p>
        </w:tc>
        <w:tc>
          <w:tcPr>
            <w:tcW w:w="7346" w:type="dxa"/>
            <w:vAlign w:val="center"/>
          </w:tcPr>
          <w:p w:rsidR="00FE12D3" w:rsidRPr="00782CED" w:rsidRDefault="00FE12D3" w:rsidP="008034B1">
            <w:r>
              <w:t>Писмо до Министерство на финансите № РД 0400-87 от 13.03.2014 г.</w:t>
            </w:r>
          </w:p>
        </w:tc>
        <w:tc>
          <w:tcPr>
            <w:tcW w:w="1277" w:type="dxa"/>
            <w:vAlign w:val="center"/>
          </w:tcPr>
          <w:p w:rsidR="00FE12D3" w:rsidRPr="00782CED" w:rsidRDefault="00FE12D3" w:rsidP="00524B05">
            <w:pPr>
              <w:jc w:val="center"/>
            </w:pPr>
            <w:r>
              <w:t xml:space="preserve">3 </w:t>
            </w:r>
          </w:p>
        </w:tc>
      </w:tr>
      <w:tr w:rsidR="00FE12D3" w:rsidRPr="00782CED">
        <w:trPr>
          <w:jc w:val="center"/>
        </w:trPr>
        <w:tc>
          <w:tcPr>
            <w:tcW w:w="1255" w:type="dxa"/>
            <w:vAlign w:val="center"/>
          </w:tcPr>
          <w:p w:rsidR="00FE12D3" w:rsidRPr="00782CED" w:rsidRDefault="00FE12D3" w:rsidP="00524B05">
            <w:pPr>
              <w:jc w:val="center"/>
            </w:pPr>
            <w:r>
              <w:t>ОД № 09-</w:t>
            </w:r>
            <w:r w:rsidRPr="001C3CA5">
              <w:rPr>
                <w:i/>
                <w:iCs/>
              </w:rPr>
              <w:t>ГФО</w:t>
            </w:r>
          </w:p>
        </w:tc>
        <w:tc>
          <w:tcPr>
            <w:tcW w:w="7346" w:type="dxa"/>
            <w:vAlign w:val="center"/>
          </w:tcPr>
          <w:p w:rsidR="00FE12D3" w:rsidRPr="00782CED" w:rsidRDefault="00FE12D3" w:rsidP="003F441A">
            <w:r>
              <w:t>Писмо до Сметна палата № РД 1600-3 от 13.03.2014 г.</w:t>
            </w:r>
          </w:p>
        </w:tc>
        <w:tc>
          <w:tcPr>
            <w:tcW w:w="1277" w:type="dxa"/>
            <w:vAlign w:val="center"/>
          </w:tcPr>
          <w:p w:rsidR="00FE12D3" w:rsidRPr="00782CED" w:rsidRDefault="00FE12D3" w:rsidP="00524B05">
            <w:pPr>
              <w:jc w:val="center"/>
            </w:pPr>
            <w:r>
              <w:t>2</w:t>
            </w:r>
          </w:p>
        </w:tc>
      </w:tr>
      <w:tr w:rsidR="00FE12D3" w:rsidRPr="00782CED">
        <w:trPr>
          <w:jc w:val="center"/>
        </w:trPr>
        <w:tc>
          <w:tcPr>
            <w:tcW w:w="1255" w:type="dxa"/>
            <w:vAlign w:val="center"/>
          </w:tcPr>
          <w:p w:rsidR="00FE12D3" w:rsidRPr="00782CED" w:rsidRDefault="00FE12D3" w:rsidP="00524B05">
            <w:pPr>
              <w:jc w:val="center"/>
            </w:pPr>
            <w:r>
              <w:t>ОД № 10-</w:t>
            </w:r>
            <w:r>
              <w:rPr>
                <w:i/>
                <w:iCs/>
              </w:rPr>
              <w:t>ГФО-90</w:t>
            </w:r>
          </w:p>
        </w:tc>
        <w:tc>
          <w:tcPr>
            <w:tcW w:w="7346" w:type="dxa"/>
            <w:vAlign w:val="center"/>
          </w:tcPr>
          <w:p w:rsidR="00FE12D3" w:rsidRDefault="00FE12D3" w:rsidP="006B743F">
            <w:pPr>
              <w:jc w:val="both"/>
            </w:pPr>
            <w:r>
              <w:t>Коригирани отклонения</w:t>
            </w:r>
          </w:p>
        </w:tc>
        <w:tc>
          <w:tcPr>
            <w:tcW w:w="1277" w:type="dxa"/>
            <w:vAlign w:val="center"/>
          </w:tcPr>
          <w:p w:rsidR="00FE12D3" w:rsidRPr="00782CED" w:rsidRDefault="00FE12D3" w:rsidP="00524B05">
            <w:pPr>
              <w:jc w:val="center"/>
            </w:pPr>
            <w:r>
              <w:t>4</w:t>
            </w:r>
          </w:p>
        </w:tc>
      </w:tr>
      <w:tr w:rsidR="00FE12D3" w:rsidRPr="00782CED">
        <w:trPr>
          <w:jc w:val="center"/>
        </w:trPr>
        <w:tc>
          <w:tcPr>
            <w:tcW w:w="1255" w:type="dxa"/>
            <w:vAlign w:val="center"/>
          </w:tcPr>
          <w:p w:rsidR="00FE12D3" w:rsidRPr="00782CED" w:rsidRDefault="00FE12D3" w:rsidP="00524B05">
            <w:pPr>
              <w:jc w:val="center"/>
            </w:pPr>
            <w:r>
              <w:t>ОД № 11-</w:t>
            </w:r>
            <w:r w:rsidRPr="001C3CA5">
              <w:rPr>
                <w:i/>
                <w:iCs/>
              </w:rPr>
              <w:t>ГФО</w:t>
            </w:r>
          </w:p>
        </w:tc>
        <w:tc>
          <w:tcPr>
            <w:tcW w:w="7346" w:type="dxa"/>
            <w:vAlign w:val="center"/>
          </w:tcPr>
          <w:p w:rsidR="00FE12D3" w:rsidRPr="00782CED" w:rsidRDefault="00FE12D3" w:rsidP="006C43E8">
            <w:r>
              <w:t>Писмо до Сметна палата № РД 1600-6 от 01.04.2014 г.</w:t>
            </w:r>
          </w:p>
        </w:tc>
        <w:tc>
          <w:tcPr>
            <w:tcW w:w="1277" w:type="dxa"/>
            <w:vAlign w:val="center"/>
          </w:tcPr>
          <w:p w:rsidR="00FE12D3" w:rsidRPr="00782CED" w:rsidRDefault="00FE12D3" w:rsidP="00524B05">
            <w:pPr>
              <w:jc w:val="center"/>
            </w:pPr>
            <w:r>
              <w:t>4</w:t>
            </w:r>
          </w:p>
        </w:tc>
      </w:tr>
      <w:tr w:rsidR="00FE12D3" w:rsidRPr="00782CED">
        <w:trPr>
          <w:jc w:val="center"/>
        </w:trPr>
        <w:tc>
          <w:tcPr>
            <w:tcW w:w="1255" w:type="dxa"/>
            <w:vAlign w:val="center"/>
          </w:tcPr>
          <w:p w:rsidR="00FE12D3" w:rsidRPr="00782CED" w:rsidRDefault="00FE12D3" w:rsidP="00524B05">
            <w:pPr>
              <w:jc w:val="center"/>
            </w:pPr>
            <w:r>
              <w:t>ОД № 12-</w:t>
            </w:r>
            <w:r>
              <w:rPr>
                <w:i/>
                <w:iCs/>
              </w:rPr>
              <w:t>ГФО-91</w:t>
            </w:r>
          </w:p>
        </w:tc>
        <w:tc>
          <w:tcPr>
            <w:tcW w:w="7346" w:type="dxa"/>
            <w:vAlign w:val="center"/>
          </w:tcPr>
          <w:p w:rsidR="00FE12D3" w:rsidRPr="00782CED" w:rsidRDefault="00FE12D3" w:rsidP="006C43E8">
            <w:r>
              <w:t>Същественост – таблица за натрупване на установените отклонения</w:t>
            </w:r>
          </w:p>
        </w:tc>
        <w:tc>
          <w:tcPr>
            <w:tcW w:w="1277" w:type="dxa"/>
            <w:vAlign w:val="center"/>
          </w:tcPr>
          <w:p w:rsidR="00FE12D3" w:rsidRPr="00782CED" w:rsidRDefault="00FE12D3" w:rsidP="00524B05">
            <w:pPr>
              <w:jc w:val="center"/>
            </w:pPr>
            <w:r>
              <w:t>1</w:t>
            </w:r>
          </w:p>
        </w:tc>
      </w:tr>
    </w:tbl>
    <w:p w:rsidR="00FE12D3" w:rsidRDefault="00FE12D3" w:rsidP="00FC357A">
      <w:pPr>
        <w:spacing w:after="360"/>
        <w:rPr>
          <w:lang w:val="en-US"/>
        </w:rPr>
      </w:pPr>
    </w:p>
    <w:p w:rsidR="00FE12D3" w:rsidRDefault="00FE12D3" w:rsidP="00FC357A">
      <w:pPr>
        <w:spacing w:after="360"/>
        <w:rPr>
          <w:lang w:val="en-US"/>
        </w:rPr>
      </w:pPr>
    </w:p>
    <w:p w:rsidR="00FE12D3" w:rsidRDefault="00FE12D3" w:rsidP="00FC357A">
      <w:pPr>
        <w:spacing w:after="360"/>
        <w:rPr>
          <w:lang w:val="en-US"/>
        </w:rPr>
      </w:pPr>
    </w:p>
    <w:p w:rsidR="00FE12D3" w:rsidRDefault="00FE12D3" w:rsidP="00FC357A">
      <w:pPr>
        <w:spacing w:after="360"/>
        <w:rPr>
          <w:lang w:val="en-US"/>
        </w:rPr>
      </w:pPr>
    </w:p>
    <w:p w:rsidR="00FE12D3" w:rsidRDefault="00FE12D3" w:rsidP="00FC357A">
      <w:pPr>
        <w:spacing w:after="360"/>
        <w:rPr>
          <w:lang w:val="en-US"/>
        </w:rPr>
      </w:pPr>
    </w:p>
    <w:p w:rsidR="00FE12D3" w:rsidRPr="00DA1616" w:rsidRDefault="00FE12D3" w:rsidP="003309D4">
      <w:pPr>
        <w:jc w:val="center"/>
      </w:pPr>
      <w:r w:rsidRPr="0024798A">
        <w:rPr>
          <w:noProof/>
        </w:rPr>
        <w:pict>
          <v:shape id="Picture 1" o:spid="_x0000_i1026" type="#_x0000_t75" alt="logo_cropBG" style="width:193.5pt;height:103.5pt;visibility:visible">
            <v:imagedata r:id="rId8" o:title=""/>
          </v:shape>
        </w:pict>
      </w:r>
    </w:p>
    <w:p w:rsidR="00FE12D3" w:rsidRPr="00DA1616" w:rsidRDefault="00FE12D3" w:rsidP="003309D4">
      <w:pPr>
        <w:ind w:left="4536"/>
        <w:rPr>
          <w:b/>
          <w:bCs/>
        </w:rPr>
      </w:pPr>
      <w:r w:rsidRPr="00DA1616">
        <w:rPr>
          <w:b/>
          <w:bCs/>
        </w:rPr>
        <w:t xml:space="preserve">      </w:t>
      </w:r>
    </w:p>
    <w:p w:rsidR="00FE12D3" w:rsidRPr="00DA1616" w:rsidRDefault="00FE12D3" w:rsidP="003309D4">
      <w:pPr>
        <w:ind w:left="4536"/>
        <w:rPr>
          <w:b/>
          <w:bCs/>
        </w:rPr>
      </w:pPr>
    </w:p>
    <w:p w:rsidR="00FE12D3" w:rsidRPr="00DA1616" w:rsidRDefault="00FE12D3" w:rsidP="003309D4">
      <w:pPr>
        <w:ind w:left="4536"/>
        <w:rPr>
          <w:color w:val="C00000"/>
          <w:sz w:val="20"/>
          <w:szCs w:val="20"/>
        </w:rPr>
      </w:pPr>
      <w:r w:rsidRPr="00DA1616">
        <w:rPr>
          <w:b/>
          <w:bCs/>
          <w:color w:val="C00000"/>
          <w:sz w:val="20"/>
          <w:szCs w:val="20"/>
        </w:rPr>
        <w:t xml:space="preserve">  </w:t>
      </w:r>
      <w:r w:rsidRPr="00DA1616">
        <w:rPr>
          <w:b/>
          <w:bCs/>
        </w:rPr>
        <w:t xml:space="preserve">       </w:t>
      </w:r>
    </w:p>
    <w:p w:rsidR="00FE12D3" w:rsidRPr="00DA1616" w:rsidRDefault="00FE12D3" w:rsidP="003309D4">
      <w:pPr>
        <w:ind w:left="4536" w:right="-567"/>
        <w:rPr>
          <w:b/>
          <w:bCs/>
          <w:i/>
          <w:iCs/>
          <w:color w:val="C00000"/>
          <w:sz w:val="20"/>
          <w:szCs w:val="20"/>
        </w:rPr>
      </w:pPr>
    </w:p>
    <w:p w:rsidR="00FE12D3" w:rsidRPr="00DA1616" w:rsidRDefault="00FE12D3" w:rsidP="003309D4">
      <w:pPr>
        <w:ind w:left="3828" w:firstLine="708"/>
        <w:rPr>
          <w:color w:val="C00000"/>
          <w:sz w:val="20"/>
          <w:szCs w:val="20"/>
        </w:rPr>
      </w:pPr>
      <w:r w:rsidRPr="00DA1616">
        <w:rPr>
          <w:b/>
          <w:bCs/>
          <w:color w:val="C00000"/>
          <w:sz w:val="20"/>
          <w:szCs w:val="20"/>
        </w:rPr>
        <w:t xml:space="preserve">    </w:t>
      </w:r>
    </w:p>
    <w:p w:rsidR="00FE12D3" w:rsidRPr="00DA1616" w:rsidRDefault="00FE12D3" w:rsidP="003309D4">
      <w:pPr>
        <w:ind w:left="4536"/>
        <w:rPr>
          <w:b/>
          <w:bCs/>
          <w:sz w:val="20"/>
          <w:szCs w:val="20"/>
        </w:rPr>
      </w:pPr>
    </w:p>
    <w:p w:rsidR="00FE12D3" w:rsidRPr="00DA1616" w:rsidRDefault="00FE12D3" w:rsidP="003309D4">
      <w:pPr>
        <w:ind w:left="4536"/>
        <w:rPr>
          <w:b/>
          <w:bCs/>
          <w:sz w:val="20"/>
          <w:szCs w:val="20"/>
        </w:rPr>
      </w:pPr>
    </w:p>
    <w:p w:rsidR="00FE12D3" w:rsidRPr="00DA1616" w:rsidRDefault="00FE12D3" w:rsidP="003309D4">
      <w:pPr>
        <w:ind w:left="4536"/>
        <w:rPr>
          <w:b/>
          <w:bCs/>
          <w:sz w:val="20"/>
          <w:szCs w:val="20"/>
        </w:rPr>
      </w:pPr>
    </w:p>
    <w:p w:rsidR="00FE12D3" w:rsidRPr="00DA1616" w:rsidRDefault="00FE12D3" w:rsidP="003309D4">
      <w:pPr>
        <w:rPr>
          <w:b/>
          <w:bCs/>
          <w:i/>
          <w:iCs/>
          <w:color w:val="C00000"/>
          <w:sz w:val="20"/>
          <w:szCs w:val="20"/>
        </w:rPr>
      </w:pPr>
      <w:r w:rsidRPr="00DA1616">
        <w:rPr>
          <w:b/>
          <w:bCs/>
        </w:rPr>
        <w:t xml:space="preserve">                                                                            </w:t>
      </w:r>
    </w:p>
    <w:p w:rsidR="00FE12D3" w:rsidRPr="00DA1616" w:rsidRDefault="00FE12D3" w:rsidP="003309D4">
      <w:pPr>
        <w:pStyle w:val="Heading1"/>
        <w:jc w:val="center"/>
        <w:rPr>
          <w:caps/>
        </w:rPr>
      </w:pPr>
      <w:r w:rsidRPr="00DA1616">
        <w:rPr>
          <w:caps/>
        </w:rPr>
        <w:t xml:space="preserve">ОДИТНО СТАНОВИЩЕ </w:t>
      </w:r>
    </w:p>
    <w:p w:rsidR="00FE12D3" w:rsidRPr="00DA1616" w:rsidRDefault="00FE12D3" w:rsidP="003309D4">
      <w:pPr>
        <w:pStyle w:val="Heading1"/>
        <w:jc w:val="center"/>
        <w:rPr>
          <w:caps/>
        </w:rPr>
      </w:pPr>
      <w:r w:rsidRPr="00DA1616">
        <w:rPr>
          <w:caps/>
        </w:rPr>
        <w:t xml:space="preserve">ЗА ЗАВЕРКА БЕЗ РЕЗЕРВИ </w:t>
      </w:r>
    </w:p>
    <w:p w:rsidR="00FE12D3" w:rsidRPr="00DA1616" w:rsidRDefault="00FE12D3" w:rsidP="003309D4">
      <w:pPr>
        <w:pStyle w:val="Heading1"/>
        <w:jc w:val="center"/>
        <w:rPr>
          <w:caps/>
        </w:rPr>
      </w:pPr>
    </w:p>
    <w:p w:rsidR="00FE12D3" w:rsidRPr="00DA1616" w:rsidRDefault="00FE12D3" w:rsidP="003309D4">
      <w:pPr>
        <w:pStyle w:val="Heading1"/>
        <w:jc w:val="center"/>
        <w:rPr>
          <w:caps/>
        </w:rPr>
      </w:pPr>
      <w:r w:rsidRPr="00DA1616">
        <w:rPr>
          <w:caps/>
        </w:rPr>
        <w:t xml:space="preserve"> </w:t>
      </w:r>
    </w:p>
    <w:p w:rsidR="00FE12D3" w:rsidRPr="00DA1616" w:rsidRDefault="00FE12D3" w:rsidP="003309D4"/>
    <w:p w:rsidR="00FE12D3" w:rsidRPr="00DA1616" w:rsidRDefault="00FE12D3" w:rsidP="003309D4"/>
    <w:p w:rsidR="00FE12D3" w:rsidRPr="00DA1616" w:rsidRDefault="00FE12D3" w:rsidP="003309D4">
      <w:pPr>
        <w:pStyle w:val="BodyText2"/>
        <w:jc w:val="center"/>
        <w:rPr>
          <w:b/>
          <w:bCs/>
        </w:rPr>
      </w:pPr>
      <w:r w:rsidRPr="00DA1616">
        <w:rPr>
          <w:b/>
          <w:bCs/>
        </w:rPr>
        <w:t xml:space="preserve">на Годишния финансов отчет на </w:t>
      </w:r>
      <w:r>
        <w:rPr>
          <w:b/>
          <w:bCs/>
        </w:rPr>
        <w:t xml:space="preserve">община Горна Оряховица </w:t>
      </w:r>
      <w:r w:rsidRPr="00DA1616">
        <w:rPr>
          <w:b/>
          <w:bCs/>
        </w:rPr>
        <w:t>за 20</w:t>
      </w:r>
      <w:r w:rsidRPr="00651C29">
        <w:rPr>
          <w:b/>
          <w:bCs/>
          <w:lang w:val="ru-RU"/>
        </w:rPr>
        <w:t>13</w:t>
      </w:r>
      <w:r w:rsidRPr="00DA1616">
        <w:rPr>
          <w:b/>
          <w:bCs/>
        </w:rPr>
        <w:t xml:space="preserve"> г. </w:t>
      </w:r>
    </w:p>
    <w:p w:rsidR="00FE12D3" w:rsidRPr="00DA1616" w:rsidRDefault="00FE12D3" w:rsidP="003309D4">
      <w:pPr>
        <w:pStyle w:val="BodyText2"/>
        <w:jc w:val="center"/>
        <w:rPr>
          <w:sz w:val="16"/>
          <w:szCs w:val="16"/>
        </w:rPr>
      </w:pPr>
    </w:p>
    <w:p w:rsidR="00FE12D3" w:rsidRPr="00DA1616" w:rsidRDefault="00FE12D3" w:rsidP="003309D4">
      <w:pPr>
        <w:pStyle w:val="BodyText2"/>
        <w:jc w:val="center"/>
        <w:rPr>
          <w:sz w:val="16"/>
          <w:szCs w:val="16"/>
        </w:rPr>
      </w:pPr>
    </w:p>
    <w:p w:rsidR="00FE12D3" w:rsidRPr="00DA1616" w:rsidRDefault="00FE12D3" w:rsidP="003309D4">
      <w:pPr>
        <w:pStyle w:val="BodyText2"/>
        <w:jc w:val="center"/>
        <w:rPr>
          <w:sz w:val="16"/>
          <w:szCs w:val="16"/>
        </w:rPr>
      </w:pPr>
    </w:p>
    <w:p w:rsidR="00FE12D3" w:rsidRPr="00DA1616" w:rsidRDefault="00FE12D3" w:rsidP="003309D4">
      <w:pPr>
        <w:pStyle w:val="BodyText2"/>
        <w:jc w:val="center"/>
        <w:rPr>
          <w:sz w:val="16"/>
          <w:szCs w:val="16"/>
        </w:rPr>
      </w:pPr>
    </w:p>
    <w:p w:rsidR="00FE12D3" w:rsidRPr="00DA1616" w:rsidRDefault="00FE12D3" w:rsidP="003309D4">
      <w:pPr>
        <w:pStyle w:val="BodyText2"/>
        <w:jc w:val="center"/>
        <w:rPr>
          <w:sz w:val="16"/>
          <w:szCs w:val="16"/>
        </w:rPr>
      </w:pPr>
    </w:p>
    <w:p w:rsidR="00FE12D3" w:rsidRPr="00DA1616" w:rsidRDefault="00FE12D3" w:rsidP="003309D4">
      <w:pPr>
        <w:pStyle w:val="BodyText2"/>
        <w:jc w:val="center"/>
        <w:rPr>
          <w:sz w:val="16"/>
          <w:szCs w:val="16"/>
        </w:rPr>
      </w:pPr>
    </w:p>
    <w:p w:rsidR="00FE12D3" w:rsidRPr="00DA1616" w:rsidRDefault="00FE12D3" w:rsidP="003309D4">
      <w:pPr>
        <w:pStyle w:val="BodyText2"/>
        <w:jc w:val="center"/>
        <w:rPr>
          <w:sz w:val="16"/>
          <w:szCs w:val="16"/>
        </w:rPr>
      </w:pPr>
    </w:p>
    <w:p w:rsidR="00FE12D3" w:rsidRPr="00DA1616" w:rsidRDefault="00FE12D3" w:rsidP="003309D4">
      <w:pPr>
        <w:pStyle w:val="BodyText2"/>
        <w:jc w:val="center"/>
        <w:rPr>
          <w:sz w:val="16"/>
          <w:szCs w:val="16"/>
        </w:rPr>
      </w:pPr>
    </w:p>
    <w:p w:rsidR="00FE12D3" w:rsidRPr="00DA1616" w:rsidRDefault="00FE12D3" w:rsidP="003309D4">
      <w:pPr>
        <w:pStyle w:val="BodyText2"/>
        <w:jc w:val="center"/>
        <w:rPr>
          <w:sz w:val="16"/>
          <w:szCs w:val="16"/>
        </w:rPr>
      </w:pPr>
    </w:p>
    <w:p w:rsidR="00FE12D3" w:rsidRPr="00DA1616" w:rsidRDefault="00FE12D3" w:rsidP="003309D4">
      <w:pPr>
        <w:pStyle w:val="BodyText2"/>
        <w:jc w:val="center"/>
        <w:rPr>
          <w:sz w:val="16"/>
          <w:szCs w:val="16"/>
        </w:rPr>
      </w:pPr>
    </w:p>
    <w:p w:rsidR="00FE12D3" w:rsidRPr="009E54A1" w:rsidRDefault="00FE12D3" w:rsidP="003309D4">
      <w:pPr>
        <w:pStyle w:val="BodyText2"/>
        <w:jc w:val="center"/>
        <w:rPr>
          <w:b/>
          <w:bCs/>
          <w:sz w:val="16"/>
          <w:szCs w:val="16"/>
        </w:rPr>
      </w:pPr>
      <w:r w:rsidRPr="009E54A1">
        <w:rPr>
          <w:b/>
          <w:bCs/>
        </w:rPr>
        <w:t>София, 2014 г.</w:t>
      </w:r>
    </w:p>
    <w:p w:rsidR="00FE12D3" w:rsidRPr="00DA1616" w:rsidRDefault="00FE12D3" w:rsidP="003309D4">
      <w:pPr>
        <w:pStyle w:val="BodyText"/>
        <w:spacing w:before="120"/>
      </w:pPr>
    </w:p>
    <w:p w:rsidR="00FE12D3" w:rsidRPr="00DA1616" w:rsidRDefault="00FE12D3" w:rsidP="003309D4">
      <w:pPr>
        <w:pStyle w:val="BodyText"/>
        <w:spacing w:before="120"/>
      </w:pPr>
    </w:p>
    <w:p w:rsidR="00FE12D3" w:rsidRPr="00DA1616" w:rsidRDefault="00FE12D3" w:rsidP="003309D4">
      <w:pPr>
        <w:pStyle w:val="BodyText"/>
        <w:ind w:firstLine="567"/>
      </w:pPr>
      <w:r>
        <w:rPr>
          <w:lang w:val="en-US"/>
        </w:rPr>
        <w:t xml:space="preserve">  </w:t>
      </w:r>
      <w:r w:rsidRPr="00DA1616">
        <w:t xml:space="preserve">Настоящото одитно становище е изготвено на основание чл. 53, ал. 8 от Закона за Сметната палата и отразява резултатите от извършения финансов одит на годишния финансов отчет на </w:t>
      </w:r>
      <w:r>
        <w:t xml:space="preserve">община Горна Оряховица за </w:t>
      </w:r>
      <w:r w:rsidRPr="00DA1616">
        <w:t>20</w:t>
      </w:r>
      <w:r>
        <w:t>13</w:t>
      </w:r>
      <w:r w:rsidRPr="00DA1616">
        <w:t xml:space="preserve"> г.</w:t>
      </w:r>
    </w:p>
    <w:p w:rsidR="00FE12D3" w:rsidRDefault="00FE12D3" w:rsidP="003309D4">
      <w:pPr>
        <w:pStyle w:val="body"/>
        <w:spacing w:before="120" w:line="240" w:lineRule="auto"/>
        <w:ind w:firstLine="709"/>
        <w:jc w:val="both"/>
        <w:rPr>
          <w:rFonts w:ascii="Times New Roman" w:hAnsi="Times New Roman" w:cs="Times New Roman"/>
          <w:sz w:val="24"/>
          <w:szCs w:val="24"/>
          <w:lang w:val="bg-BG"/>
        </w:rPr>
      </w:pPr>
    </w:p>
    <w:p w:rsidR="00FE12D3" w:rsidRPr="00DA1616" w:rsidRDefault="00FE12D3" w:rsidP="003309D4">
      <w:pPr>
        <w:pStyle w:val="body"/>
        <w:spacing w:before="120" w:line="24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Р</w:t>
      </w:r>
      <w:r w:rsidRPr="00DA1616">
        <w:rPr>
          <w:rFonts w:ascii="Times New Roman" w:hAnsi="Times New Roman" w:cs="Times New Roman"/>
          <w:sz w:val="24"/>
          <w:szCs w:val="24"/>
          <w:lang w:val="bg-BG"/>
        </w:rPr>
        <w:t xml:space="preserve">езултатите от извършения от Сметна палата </w:t>
      </w:r>
      <w:r>
        <w:rPr>
          <w:rFonts w:ascii="Times New Roman" w:hAnsi="Times New Roman" w:cs="Times New Roman"/>
          <w:sz w:val="24"/>
          <w:szCs w:val="24"/>
          <w:lang w:val="bg-BG"/>
        </w:rPr>
        <w:t>финансов</w:t>
      </w:r>
      <w:r w:rsidRPr="00DA1616">
        <w:rPr>
          <w:rFonts w:ascii="Times New Roman" w:hAnsi="Times New Roman" w:cs="Times New Roman"/>
          <w:sz w:val="24"/>
          <w:szCs w:val="24"/>
          <w:lang w:val="bg-BG"/>
        </w:rPr>
        <w:t xml:space="preserve"> одит, представени в Одитен доклад № </w:t>
      </w:r>
      <w:r>
        <w:rPr>
          <w:rFonts w:ascii="Times New Roman" w:hAnsi="Times New Roman" w:cs="Times New Roman"/>
          <w:sz w:val="24"/>
          <w:szCs w:val="24"/>
          <w:lang w:val="bg-BG"/>
        </w:rPr>
        <w:t>0100053013</w:t>
      </w:r>
      <w:r w:rsidRPr="00DA1616">
        <w:rPr>
          <w:rFonts w:ascii="Times New Roman" w:hAnsi="Times New Roman" w:cs="Times New Roman"/>
          <w:sz w:val="24"/>
          <w:szCs w:val="24"/>
          <w:lang w:val="bg-BG"/>
        </w:rPr>
        <w:t>, предоставят достатъчна и подходяща база за изразеното одитно становище.</w:t>
      </w:r>
    </w:p>
    <w:p w:rsidR="00FE12D3" w:rsidRPr="00DA1616" w:rsidRDefault="00FE12D3" w:rsidP="003309D4">
      <w:pPr>
        <w:pStyle w:val="NumberedParagraphCharChar"/>
        <w:keepNext/>
        <w:keepLines/>
        <w:widowControl/>
        <w:shd w:val="clear" w:color="auto" w:fill="FFFFFF"/>
        <w:tabs>
          <w:tab w:val="clear" w:pos="312"/>
          <w:tab w:val="clear" w:pos="480"/>
          <w:tab w:val="left" w:pos="600"/>
        </w:tabs>
        <w:spacing w:before="240" w:after="120" w:line="240" w:lineRule="auto"/>
        <w:ind w:left="709" w:firstLine="0"/>
        <w:rPr>
          <w:b/>
          <w:bCs/>
          <w:i/>
          <w:iCs/>
          <w:lang w:val="bg-BG"/>
        </w:rPr>
      </w:pPr>
      <w:r w:rsidRPr="00DA1616">
        <w:rPr>
          <w:b/>
          <w:bCs/>
          <w:i/>
          <w:iCs/>
          <w:lang w:val="bg-BG"/>
        </w:rPr>
        <w:t>Независимо одитно становище</w:t>
      </w:r>
    </w:p>
    <w:p w:rsidR="00FE12D3" w:rsidRPr="00DA1616" w:rsidRDefault="00FE12D3" w:rsidP="003309D4">
      <w:pPr>
        <w:pStyle w:val="body"/>
        <w:spacing w:before="120" w:line="240" w:lineRule="auto"/>
        <w:ind w:firstLine="709"/>
        <w:jc w:val="both"/>
        <w:rPr>
          <w:rFonts w:ascii="Times New Roman" w:hAnsi="Times New Roman" w:cs="Times New Roman"/>
          <w:sz w:val="24"/>
          <w:szCs w:val="24"/>
          <w:lang w:val="bg-BG"/>
        </w:rPr>
      </w:pPr>
      <w:r w:rsidRPr="00DA1616">
        <w:rPr>
          <w:rFonts w:ascii="Times New Roman" w:hAnsi="Times New Roman" w:cs="Times New Roman"/>
          <w:sz w:val="24"/>
          <w:szCs w:val="24"/>
          <w:lang w:val="bg-BG"/>
        </w:rPr>
        <w:t xml:space="preserve">Сметна палата изразява становище, че финансовият отчет дава вярна и честна представа за финансовото състояние и имуществото на </w:t>
      </w:r>
      <w:r>
        <w:rPr>
          <w:rFonts w:ascii="Times New Roman" w:hAnsi="Times New Roman" w:cs="Times New Roman"/>
          <w:sz w:val="24"/>
          <w:szCs w:val="24"/>
          <w:lang w:val="bg-BG"/>
        </w:rPr>
        <w:t>община Горна Оряховица към     31</w:t>
      </w:r>
      <w:r w:rsidRPr="00FD6DCA">
        <w:rPr>
          <w:rFonts w:ascii="Times New Roman" w:hAnsi="Times New Roman" w:cs="Times New Roman"/>
          <w:sz w:val="24"/>
          <w:szCs w:val="24"/>
          <w:lang w:val="ru-RU"/>
        </w:rPr>
        <w:t xml:space="preserve"> </w:t>
      </w:r>
      <w:r>
        <w:rPr>
          <w:rFonts w:ascii="Times New Roman" w:hAnsi="Times New Roman" w:cs="Times New Roman"/>
          <w:sz w:val="24"/>
          <w:szCs w:val="24"/>
          <w:lang w:val="bg-BG"/>
        </w:rPr>
        <w:t>декември 201</w:t>
      </w:r>
      <w:r w:rsidRPr="00FD6DCA">
        <w:rPr>
          <w:rFonts w:ascii="Times New Roman" w:hAnsi="Times New Roman" w:cs="Times New Roman"/>
          <w:sz w:val="24"/>
          <w:szCs w:val="24"/>
          <w:lang w:val="ru-RU"/>
        </w:rPr>
        <w:t>3</w:t>
      </w:r>
      <w:r w:rsidRPr="00DA1616">
        <w:rPr>
          <w:rFonts w:ascii="Times New Roman" w:hAnsi="Times New Roman" w:cs="Times New Roman"/>
          <w:sz w:val="24"/>
          <w:szCs w:val="24"/>
          <w:lang w:val="bg-BG"/>
        </w:rPr>
        <w:t xml:space="preserve"> година, в съответствие с приложимата обща рамка за финансово отчитане.</w:t>
      </w:r>
    </w:p>
    <w:p w:rsidR="00FE12D3" w:rsidRDefault="00FE12D3" w:rsidP="003309D4">
      <w:pPr>
        <w:pStyle w:val="BodyText"/>
        <w:ind w:firstLine="720"/>
      </w:pPr>
    </w:p>
    <w:p w:rsidR="00FE12D3" w:rsidRPr="004E697D" w:rsidRDefault="00FE12D3" w:rsidP="003309D4">
      <w:pPr>
        <w:pStyle w:val="BodyText"/>
        <w:ind w:firstLine="720"/>
        <w:rPr>
          <w:b/>
          <w:bCs/>
          <w:i/>
          <w:iCs/>
        </w:rPr>
      </w:pPr>
      <w:r w:rsidRPr="00DA1616">
        <w:t xml:space="preserve">Финансовият отчет на </w:t>
      </w:r>
      <w:r>
        <w:t xml:space="preserve">община Горна Оряховица </w:t>
      </w:r>
      <w:r w:rsidRPr="00DA1616">
        <w:t>за 20</w:t>
      </w:r>
      <w:r>
        <w:t>1</w:t>
      </w:r>
      <w:r w:rsidRPr="00FD6DCA">
        <w:rPr>
          <w:lang w:val="ru-RU"/>
        </w:rPr>
        <w:t>3</w:t>
      </w:r>
      <w:r w:rsidRPr="00DA1616">
        <w:t xml:space="preserve"> г. се заверява </w:t>
      </w:r>
      <w:r w:rsidRPr="00DA1616">
        <w:rPr>
          <w:b/>
          <w:bCs/>
          <w:i/>
          <w:iCs/>
        </w:rPr>
        <w:t>без резерви.</w:t>
      </w:r>
    </w:p>
    <w:p w:rsidR="00FE12D3" w:rsidRDefault="00FE12D3" w:rsidP="003309D4">
      <w:pPr>
        <w:pStyle w:val="BodyText"/>
        <w:keepNext/>
        <w:keepLines/>
        <w:ind w:firstLine="720"/>
      </w:pPr>
    </w:p>
    <w:p w:rsidR="00FE12D3" w:rsidRPr="00DA1616" w:rsidRDefault="00FE12D3" w:rsidP="003309D4">
      <w:pPr>
        <w:pStyle w:val="BodyText"/>
        <w:keepNext/>
        <w:keepLines/>
        <w:ind w:firstLine="720"/>
      </w:pPr>
    </w:p>
    <w:p w:rsidR="00FE12D3" w:rsidRDefault="00FE12D3" w:rsidP="003309D4">
      <w:pPr>
        <w:keepNext/>
        <w:keepLines/>
        <w:jc w:val="both"/>
      </w:pPr>
    </w:p>
    <w:p w:rsidR="00FE12D3" w:rsidRDefault="00FE12D3" w:rsidP="003309D4">
      <w:pPr>
        <w:keepNext/>
        <w:keepLines/>
        <w:jc w:val="both"/>
      </w:pPr>
    </w:p>
    <w:p w:rsidR="00FE12D3" w:rsidRDefault="00FE12D3" w:rsidP="003309D4">
      <w:pPr>
        <w:keepNext/>
        <w:keepLines/>
        <w:jc w:val="both"/>
      </w:pPr>
    </w:p>
    <w:p w:rsidR="00FE12D3" w:rsidRDefault="00FE12D3" w:rsidP="003309D4">
      <w:pPr>
        <w:keepNext/>
        <w:keepLines/>
        <w:jc w:val="both"/>
      </w:pPr>
    </w:p>
    <w:p w:rsidR="00FE12D3" w:rsidRDefault="00FE12D3" w:rsidP="003309D4">
      <w:pPr>
        <w:keepNext/>
        <w:keepLines/>
        <w:jc w:val="both"/>
      </w:pPr>
    </w:p>
    <w:p w:rsidR="00FE12D3" w:rsidRDefault="00FE12D3" w:rsidP="003309D4">
      <w:pPr>
        <w:keepNext/>
        <w:keepLines/>
        <w:jc w:val="both"/>
      </w:pPr>
    </w:p>
    <w:p w:rsidR="00FE12D3" w:rsidRDefault="00FE12D3" w:rsidP="003309D4">
      <w:pPr>
        <w:keepNext/>
        <w:keepLines/>
        <w:jc w:val="both"/>
      </w:pPr>
    </w:p>
    <w:p w:rsidR="00FE12D3" w:rsidRDefault="00FE12D3" w:rsidP="003309D4">
      <w:pPr>
        <w:keepNext/>
        <w:keepLines/>
        <w:jc w:val="both"/>
      </w:pPr>
    </w:p>
    <w:p w:rsidR="00FE12D3" w:rsidRDefault="00FE12D3" w:rsidP="003309D4"/>
    <w:p w:rsidR="00FE12D3" w:rsidRPr="002D5FC6" w:rsidRDefault="00FE12D3" w:rsidP="003309D4">
      <w:pPr>
        <w:rPr>
          <w:i/>
          <w:iCs/>
        </w:rPr>
      </w:pPr>
    </w:p>
    <w:p w:rsidR="00FE12D3" w:rsidRDefault="00FE12D3" w:rsidP="00FC357A">
      <w:pPr>
        <w:spacing w:after="360"/>
        <w:rPr>
          <w:lang w:val="en-US"/>
        </w:rPr>
      </w:pPr>
    </w:p>
    <w:p w:rsidR="00FE12D3" w:rsidRPr="003309D4" w:rsidRDefault="00FE12D3" w:rsidP="00FC357A">
      <w:pPr>
        <w:spacing w:after="360"/>
        <w:rPr>
          <w:lang w:val="en-US"/>
        </w:rPr>
      </w:pPr>
    </w:p>
    <w:sectPr w:rsidR="00FE12D3" w:rsidRPr="003309D4" w:rsidSect="00ED48BC">
      <w:footerReference w:type="even" r:id="rId9"/>
      <w:footerReference w:type="default" r:id="rId10"/>
      <w:pgSz w:w="11906" w:h="16838"/>
      <w:pgMar w:top="1134" w:right="1134"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2D3" w:rsidRDefault="00FE12D3">
      <w:r>
        <w:separator/>
      </w:r>
    </w:p>
  </w:endnote>
  <w:endnote w:type="continuationSeparator" w:id="1">
    <w:p w:rsidR="00FE12D3" w:rsidRDefault="00FE12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Calibri Light">
    <w:altName w:val="Segoe UI"/>
    <w:panose1 w:val="00000000000000000000"/>
    <w:charset w:val="CC"/>
    <w:family w:val="swiss"/>
    <w:notTrueType/>
    <w:pitch w:val="variable"/>
    <w:sig w:usb0="00000203" w:usb1="00000000" w:usb2="00000000" w:usb3="00000000" w:csb0="00000005"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2D3" w:rsidRDefault="00FE12D3" w:rsidP="001635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E12D3" w:rsidRDefault="00FE12D3" w:rsidP="00EF3C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2D3" w:rsidRPr="005746C7" w:rsidRDefault="00FE12D3" w:rsidP="00163541">
    <w:pPr>
      <w:pStyle w:val="Footer"/>
      <w:framePr w:wrap="around" w:vAnchor="text" w:hAnchor="margin" w:xAlign="right" w:y="1"/>
      <w:rPr>
        <w:rStyle w:val="PageNumber"/>
        <w:sz w:val="20"/>
        <w:szCs w:val="20"/>
      </w:rPr>
    </w:pPr>
    <w:r w:rsidRPr="005746C7">
      <w:rPr>
        <w:rStyle w:val="PageNumber"/>
        <w:sz w:val="20"/>
        <w:szCs w:val="20"/>
      </w:rPr>
      <w:fldChar w:fldCharType="begin"/>
    </w:r>
    <w:r w:rsidRPr="005746C7">
      <w:rPr>
        <w:rStyle w:val="PageNumber"/>
        <w:sz w:val="20"/>
        <w:szCs w:val="20"/>
      </w:rPr>
      <w:instrText xml:space="preserve">PAGE  </w:instrText>
    </w:r>
    <w:r w:rsidRPr="005746C7">
      <w:rPr>
        <w:rStyle w:val="PageNumber"/>
        <w:sz w:val="20"/>
        <w:szCs w:val="20"/>
      </w:rPr>
      <w:fldChar w:fldCharType="separate"/>
    </w:r>
    <w:r>
      <w:rPr>
        <w:rStyle w:val="PageNumber"/>
        <w:noProof/>
        <w:sz w:val="20"/>
        <w:szCs w:val="20"/>
      </w:rPr>
      <w:t>2</w:t>
    </w:r>
    <w:r w:rsidRPr="005746C7">
      <w:rPr>
        <w:rStyle w:val="PageNumber"/>
        <w:sz w:val="20"/>
        <w:szCs w:val="20"/>
      </w:rPr>
      <w:fldChar w:fldCharType="end"/>
    </w:r>
  </w:p>
  <w:p w:rsidR="00FE12D3" w:rsidRPr="005746C7" w:rsidRDefault="00FE12D3" w:rsidP="003309D4">
    <w:pPr>
      <w:pStyle w:val="Footer"/>
      <w:ind w:right="360" w:firstLine="46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2D3" w:rsidRDefault="00FE12D3">
      <w:r>
        <w:separator/>
      </w:r>
    </w:p>
  </w:footnote>
  <w:footnote w:type="continuationSeparator" w:id="1">
    <w:p w:rsidR="00FE12D3" w:rsidRDefault="00FE12D3">
      <w:r>
        <w:continuationSeparator/>
      </w:r>
    </w:p>
  </w:footnote>
  <w:footnote w:id="2">
    <w:p w:rsidR="00FE12D3" w:rsidRDefault="00FE12D3">
      <w:pPr>
        <w:pStyle w:val="FootnoteText"/>
      </w:pPr>
      <w:r>
        <w:rPr>
          <w:rStyle w:val="FootnoteReference"/>
        </w:rPr>
        <w:t>1</w:t>
      </w:r>
      <w:r>
        <w:t>ОД № 02  ГФО-49;</w:t>
      </w:r>
    </w:p>
    <w:p w:rsidR="00FE12D3" w:rsidRDefault="00FE12D3">
      <w:pPr>
        <w:pStyle w:val="FootnoteText"/>
      </w:pPr>
      <w:r>
        <w:t xml:space="preserve">  ОД № 08 и № 09 ГФО</w:t>
      </w:r>
    </w:p>
  </w:footnote>
  <w:footnote w:id="3">
    <w:p w:rsidR="00FE12D3" w:rsidRDefault="00FE12D3">
      <w:pPr>
        <w:pStyle w:val="FootnoteText"/>
      </w:pPr>
      <w:r>
        <w:rPr>
          <w:rStyle w:val="FootnoteReference"/>
        </w:rPr>
        <w:t>2</w:t>
      </w:r>
      <w:r>
        <w:t xml:space="preserve"> ОД № 05 ГФО-69</w:t>
      </w:r>
    </w:p>
  </w:footnote>
  <w:footnote w:id="4">
    <w:p w:rsidR="00FE12D3" w:rsidRDefault="00FE12D3" w:rsidP="009648C2">
      <w:pPr>
        <w:pStyle w:val="FootnoteText"/>
      </w:pPr>
      <w:r>
        <w:rPr>
          <w:rStyle w:val="FootnoteReference"/>
        </w:rPr>
        <w:t>3</w:t>
      </w:r>
      <w:r>
        <w:t xml:space="preserve"> ОД № 06 ГФО-74;</w:t>
      </w:r>
    </w:p>
    <w:p w:rsidR="00FE12D3" w:rsidRDefault="00FE12D3" w:rsidP="009648C2">
      <w:pPr>
        <w:pStyle w:val="FootnoteText"/>
      </w:pPr>
      <w:r>
        <w:t xml:space="preserve">  ОД № 03  ГФО-59</w:t>
      </w:r>
    </w:p>
  </w:footnote>
  <w:footnote w:id="5">
    <w:p w:rsidR="00FE12D3" w:rsidRDefault="00FE12D3">
      <w:pPr>
        <w:pStyle w:val="FootnoteText"/>
      </w:pPr>
      <w:r>
        <w:rPr>
          <w:rStyle w:val="FootnoteReference"/>
        </w:rPr>
        <w:t>4</w:t>
      </w:r>
      <w:r>
        <w:t xml:space="preserve"> ОД № 07  ГФО-78</w:t>
      </w:r>
    </w:p>
  </w:footnote>
  <w:footnote w:id="6">
    <w:p w:rsidR="00FE12D3" w:rsidRDefault="00FE12D3">
      <w:pPr>
        <w:pStyle w:val="FootnoteText"/>
      </w:pPr>
      <w:r>
        <w:rPr>
          <w:rStyle w:val="FootnoteReference"/>
        </w:rPr>
        <w:t>5</w:t>
      </w:r>
      <w:r>
        <w:t xml:space="preserve"> ОД № 01  ГФО-48;</w:t>
      </w:r>
    </w:p>
    <w:p w:rsidR="00FE12D3" w:rsidRDefault="00FE12D3">
      <w:pPr>
        <w:pStyle w:val="FootnoteText"/>
      </w:pPr>
      <w:r>
        <w:t xml:space="preserve">  ОД № 08 и № 09 ГФО</w:t>
      </w:r>
    </w:p>
  </w:footnote>
  <w:footnote w:id="7">
    <w:p w:rsidR="00FE12D3" w:rsidRDefault="00FE12D3">
      <w:pPr>
        <w:pStyle w:val="FootnoteText"/>
      </w:pPr>
      <w:r>
        <w:rPr>
          <w:rStyle w:val="FootnoteReference"/>
        </w:rPr>
        <w:t>6</w:t>
      </w:r>
      <w:r>
        <w:t xml:space="preserve"> ОД № 04  ГФО-61</w:t>
      </w:r>
    </w:p>
  </w:footnote>
  <w:footnote w:id="8">
    <w:p w:rsidR="00FE12D3" w:rsidRDefault="00FE12D3">
      <w:pPr>
        <w:pStyle w:val="FootnoteText"/>
      </w:pPr>
      <w:r>
        <w:rPr>
          <w:rStyle w:val="FootnoteReference"/>
        </w:rPr>
        <w:t>7</w:t>
      </w:r>
      <w:r>
        <w:t xml:space="preserve"> ОД № 08; № 09 и № 11  ГФО</w:t>
      </w:r>
    </w:p>
  </w:footnote>
  <w:footnote w:id="9">
    <w:p w:rsidR="00FE12D3" w:rsidRDefault="00FE12D3">
      <w:pPr>
        <w:pStyle w:val="FootnoteText"/>
      </w:pPr>
      <w:r>
        <w:rPr>
          <w:rStyle w:val="FootnoteReference"/>
        </w:rPr>
        <w:t>8</w:t>
      </w:r>
      <w:r>
        <w:t xml:space="preserve"> ОД № 10  ГФО-90;</w:t>
      </w:r>
    </w:p>
  </w:footnote>
  <w:footnote w:id="10">
    <w:p w:rsidR="00FE12D3" w:rsidRDefault="00FE12D3">
      <w:pPr>
        <w:pStyle w:val="FootnoteText"/>
      </w:pPr>
      <w:r>
        <w:rPr>
          <w:rStyle w:val="FootnoteReference"/>
        </w:rPr>
        <w:t>9</w:t>
      </w:r>
      <w:r>
        <w:t xml:space="preserve"> ОД № 12  ГФО-91</w:t>
      </w:r>
    </w:p>
  </w:footnote>
  <w:footnote w:id="11">
    <w:p w:rsidR="00FE12D3" w:rsidRDefault="00FE12D3" w:rsidP="006E17CE">
      <w:pPr>
        <w:pStyle w:val="FootnoteText"/>
      </w:pPr>
      <w:r w:rsidRPr="00576217">
        <w:rPr>
          <w:rStyle w:val="FootnoteReference"/>
          <w:sz w:val="18"/>
          <w:szCs w:val="18"/>
        </w:rPr>
        <w:footnoteRef/>
      </w:r>
      <w:r w:rsidRPr="00576217">
        <w:rPr>
          <w:sz w:val="18"/>
          <w:szCs w:val="18"/>
        </w:rPr>
        <w:t xml:space="preserve"> Посочва се точен адрес на Сметната палата или съответното ИРМ, както и номера на съответната стая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6D48"/>
    <w:multiLevelType w:val="hybridMultilevel"/>
    <w:tmpl w:val="1EA857A0"/>
    <w:lvl w:ilvl="0" w:tplc="C1824952">
      <w:start w:val="1"/>
      <w:numFmt w:val="decimal"/>
      <w:lvlText w:val="%1."/>
      <w:lvlJc w:val="left"/>
      <w:pPr>
        <w:ind w:left="1080" w:hanging="360"/>
      </w:pPr>
      <w:rPr>
        <w:rFonts w:hint="default"/>
        <w:sz w:val="24"/>
        <w:szCs w:val="24"/>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nsid w:val="0C16696A"/>
    <w:multiLevelType w:val="multilevel"/>
    <w:tmpl w:val="71542F8A"/>
    <w:lvl w:ilvl="0">
      <w:start w:val="1"/>
      <w:numFmt w:val="decimal"/>
      <w:lvlText w:val="%1."/>
      <w:lvlJc w:val="left"/>
      <w:pPr>
        <w:ind w:left="1429" w:hanging="360"/>
      </w:pPr>
      <w:rPr>
        <w:rFonts w:hint="default"/>
        <w:b/>
        <w:bCs/>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
    <w:nsid w:val="0FCC3C5D"/>
    <w:multiLevelType w:val="hybridMultilevel"/>
    <w:tmpl w:val="4AE6D1AE"/>
    <w:lvl w:ilvl="0" w:tplc="04020001">
      <w:start w:val="1"/>
      <w:numFmt w:val="bullet"/>
      <w:lvlText w:val=""/>
      <w:lvlJc w:val="left"/>
      <w:pPr>
        <w:ind w:left="1080" w:hanging="360"/>
      </w:pPr>
      <w:rPr>
        <w:rFonts w:ascii="Symbol" w:hAnsi="Symbol" w:cs="Symbol"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nsid w:val="140A7AA8"/>
    <w:multiLevelType w:val="hybridMultilevel"/>
    <w:tmpl w:val="C4B4D090"/>
    <w:lvl w:ilvl="0" w:tplc="04020001">
      <w:start w:val="1"/>
      <w:numFmt w:val="bullet"/>
      <w:lvlText w:val=""/>
      <w:lvlJc w:val="left"/>
      <w:pPr>
        <w:ind w:left="1481" w:hanging="360"/>
      </w:pPr>
      <w:rPr>
        <w:rFonts w:ascii="Symbol" w:hAnsi="Symbol" w:cs="Symbol" w:hint="default"/>
      </w:rPr>
    </w:lvl>
    <w:lvl w:ilvl="1" w:tplc="04020003" w:tentative="1">
      <w:start w:val="1"/>
      <w:numFmt w:val="bullet"/>
      <w:lvlText w:val="o"/>
      <w:lvlJc w:val="left"/>
      <w:pPr>
        <w:ind w:left="2201" w:hanging="360"/>
      </w:pPr>
      <w:rPr>
        <w:rFonts w:ascii="Courier New" w:hAnsi="Courier New" w:cs="Courier New" w:hint="default"/>
      </w:rPr>
    </w:lvl>
    <w:lvl w:ilvl="2" w:tplc="04020005" w:tentative="1">
      <w:start w:val="1"/>
      <w:numFmt w:val="bullet"/>
      <w:lvlText w:val=""/>
      <w:lvlJc w:val="left"/>
      <w:pPr>
        <w:ind w:left="2921" w:hanging="360"/>
      </w:pPr>
      <w:rPr>
        <w:rFonts w:ascii="Wingdings" w:hAnsi="Wingdings" w:cs="Wingdings" w:hint="default"/>
      </w:rPr>
    </w:lvl>
    <w:lvl w:ilvl="3" w:tplc="04020001" w:tentative="1">
      <w:start w:val="1"/>
      <w:numFmt w:val="bullet"/>
      <w:lvlText w:val=""/>
      <w:lvlJc w:val="left"/>
      <w:pPr>
        <w:ind w:left="3641" w:hanging="360"/>
      </w:pPr>
      <w:rPr>
        <w:rFonts w:ascii="Symbol" w:hAnsi="Symbol" w:cs="Symbol" w:hint="default"/>
      </w:rPr>
    </w:lvl>
    <w:lvl w:ilvl="4" w:tplc="04020003" w:tentative="1">
      <w:start w:val="1"/>
      <w:numFmt w:val="bullet"/>
      <w:lvlText w:val="o"/>
      <w:lvlJc w:val="left"/>
      <w:pPr>
        <w:ind w:left="4361" w:hanging="360"/>
      </w:pPr>
      <w:rPr>
        <w:rFonts w:ascii="Courier New" w:hAnsi="Courier New" w:cs="Courier New" w:hint="default"/>
      </w:rPr>
    </w:lvl>
    <w:lvl w:ilvl="5" w:tplc="04020005" w:tentative="1">
      <w:start w:val="1"/>
      <w:numFmt w:val="bullet"/>
      <w:lvlText w:val=""/>
      <w:lvlJc w:val="left"/>
      <w:pPr>
        <w:ind w:left="5081" w:hanging="360"/>
      </w:pPr>
      <w:rPr>
        <w:rFonts w:ascii="Wingdings" w:hAnsi="Wingdings" w:cs="Wingdings" w:hint="default"/>
      </w:rPr>
    </w:lvl>
    <w:lvl w:ilvl="6" w:tplc="04020001" w:tentative="1">
      <w:start w:val="1"/>
      <w:numFmt w:val="bullet"/>
      <w:lvlText w:val=""/>
      <w:lvlJc w:val="left"/>
      <w:pPr>
        <w:ind w:left="5801" w:hanging="360"/>
      </w:pPr>
      <w:rPr>
        <w:rFonts w:ascii="Symbol" w:hAnsi="Symbol" w:cs="Symbol" w:hint="default"/>
      </w:rPr>
    </w:lvl>
    <w:lvl w:ilvl="7" w:tplc="04020003" w:tentative="1">
      <w:start w:val="1"/>
      <w:numFmt w:val="bullet"/>
      <w:lvlText w:val="o"/>
      <w:lvlJc w:val="left"/>
      <w:pPr>
        <w:ind w:left="6521" w:hanging="360"/>
      </w:pPr>
      <w:rPr>
        <w:rFonts w:ascii="Courier New" w:hAnsi="Courier New" w:cs="Courier New" w:hint="default"/>
      </w:rPr>
    </w:lvl>
    <w:lvl w:ilvl="8" w:tplc="04020005" w:tentative="1">
      <w:start w:val="1"/>
      <w:numFmt w:val="bullet"/>
      <w:lvlText w:val=""/>
      <w:lvlJc w:val="left"/>
      <w:pPr>
        <w:ind w:left="7241" w:hanging="360"/>
      </w:pPr>
      <w:rPr>
        <w:rFonts w:ascii="Wingdings" w:hAnsi="Wingdings" w:cs="Wingdings" w:hint="default"/>
      </w:rPr>
    </w:lvl>
  </w:abstractNum>
  <w:abstractNum w:abstractNumId="4">
    <w:nsid w:val="146D49E5"/>
    <w:multiLevelType w:val="hybridMultilevel"/>
    <w:tmpl w:val="84A09866"/>
    <w:lvl w:ilvl="0" w:tplc="A594AEDA">
      <w:start w:val="1"/>
      <w:numFmt w:val="decimal"/>
      <w:lvlText w:val="%1."/>
      <w:lvlJc w:val="left"/>
      <w:pPr>
        <w:ind w:left="1714" w:hanging="1005"/>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nsid w:val="27A8089D"/>
    <w:multiLevelType w:val="hybridMultilevel"/>
    <w:tmpl w:val="4D16A316"/>
    <w:lvl w:ilvl="0" w:tplc="04020001">
      <w:start w:val="1"/>
      <w:numFmt w:val="bullet"/>
      <w:lvlText w:val=""/>
      <w:lvlJc w:val="left"/>
      <w:pPr>
        <w:ind w:left="1429" w:hanging="360"/>
      </w:pPr>
      <w:rPr>
        <w:rFonts w:ascii="Symbol" w:hAnsi="Symbol" w:cs="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cs="Wingdings" w:hint="default"/>
      </w:rPr>
    </w:lvl>
    <w:lvl w:ilvl="3" w:tplc="04020001" w:tentative="1">
      <w:start w:val="1"/>
      <w:numFmt w:val="bullet"/>
      <w:lvlText w:val=""/>
      <w:lvlJc w:val="left"/>
      <w:pPr>
        <w:ind w:left="3589" w:hanging="360"/>
      </w:pPr>
      <w:rPr>
        <w:rFonts w:ascii="Symbol" w:hAnsi="Symbol" w:cs="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cs="Wingdings" w:hint="default"/>
      </w:rPr>
    </w:lvl>
    <w:lvl w:ilvl="6" w:tplc="04020001" w:tentative="1">
      <w:start w:val="1"/>
      <w:numFmt w:val="bullet"/>
      <w:lvlText w:val=""/>
      <w:lvlJc w:val="left"/>
      <w:pPr>
        <w:ind w:left="5749" w:hanging="360"/>
      </w:pPr>
      <w:rPr>
        <w:rFonts w:ascii="Symbol" w:hAnsi="Symbol" w:cs="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cs="Wingdings" w:hint="default"/>
      </w:rPr>
    </w:lvl>
  </w:abstractNum>
  <w:abstractNum w:abstractNumId="6">
    <w:nsid w:val="2E0235FC"/>
    <w:multiLevelType w:val="multilevel"/>
    <w:tmpl w:val="F502EBE8"/>
    <w:lvl w:ilvl="0">
      <w:start w:val="1"/>
      <w:numFmt w:val="decimal"/>
      <w:lvlText w:val="%1."/>
      <w:lvlJc w:val="left"/>
      <w:pPr>
        <w:ind w:left="1429" w:hanging="360"/>
      </w:pPr>
      <w:rPr>
        <w:rFonts w:hint="default"/>
        <w:b/>
        <w:bCs/>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7">
    <w:nsid w:val="2F39535D"/>
    <w:multiLevelType w:val="hybridMultilevel"/>
    <w:tmpl w:val="B9DE1312"/>
    <w:lvl w:ilvl="0" w:tplc="EF0A122E">
      <w:start w:val="1"/>
      <w:numFmt w:val="decimal"/>
      <w:lvlText w:val="2.%1"/>
      <w:lvlJc w:val="left"/>
      <w:pPr>
        <w:ind w:left="1429" w:hanging="360"/>
      </w:pPr>
      <w:rPr>
        <w:rFonts w:hint="default"/>
      </w:rPr>
    </w:lvl>
    <w:lvl w:ilvl="1" w:tplc="04020019">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8">
    <w:nsid w:val="3DFE78BC"/>
    <w:multiLevelType w:val="hybridMultilevel"/>
    <w:tmpl w:val="4FDAE816"/>
    <w:lvl w:ilvl="0" w:tplc="0BC831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E5921EB"/>
    <w:multiLevelType w:val="multilevel"/>
    <w:tmpl w:val="F502EBE8"/>
    <w:lvl w:ilvl="0">
      <w:start w:val="1"/>
      <w:numFmt w:val="decimal"/>
      <w:lvlText w:val="%1."/>
      <w:lvlJc w:val="left"/>
      <w:pPr>
        <w:ind w:left="1429" w:hanging="360"/>
      </w:pPr>
      <w:rPr>
        <w:rFonts w:hint="default"/>
        <w:b/>
        <w:bCs/>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0">
    <w:nsid w:val="3F0E3BC0"/>
    <w:multiLevelType w:val="multilevel"/>
    <w:tmpl w:val="05FE41FC"/>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44E95D84"/>
    <w:multiLevelType w:val="hybridMultilevel"/>
    <w:tmpl w:val="3F0E47B0"/>
    <w:lvl w:ilvl="0" w:tplc="04020013">
      <w:start w:val="1"/>
      <w:numFmt w:val="upperRoman"/>
      <w:lvlText w:val="%1."/>
      <w:lvlJc w:val="right"/>
      <w:pPr>
        <w:ind w:left="36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nsid w:val="486046AF"/>
    <w:multiLevelType w:val="multilevel"/>
    <w:tmpl w:val="C07CF71E"/>
    <w:lvl w:ilvl="0">
      <w:start w:val="1"/>
      <w:numFmt w:val="decimal"/>
      <w:pStyle w:val="Heading3"/>
      <w:lvlText w:val="%1."/>
      <w:lvlJc w:val="left"/>
      <w:pPr>
        <w:ind w:left="540" w:hanging="540"/>
      </w:pPr>
      <w:rPr>
        <w:rFonts w:ascii="Times New Roman" w:hAnsi="Times New Roman" w:cs="Times New Roman"/>
        <w:b/>
        <w:bCs/>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nsid w:val="51F55C1E"/>
    <w:multiLevelType w:val="hybridMultilevel"/>
    <w:tmpl w:val="7234D6DE"/>
    <w:lvl w:ilvl="0" w:tplc="04020001">
      <w:start w:val="1"/>
      <w:numFmt w:val="bullet"/>
      <w:lvlText w:val=""/>
      <w:lvlJc w:val="left"/>
      <w:pPr>
        <w:ind w:left="1440" w:hanging="360"/>
      </w:pPr>
      <w:rPr>
        <w:rFonts w:ascii="Symbol" w:hAnsi="Symbol" w:cs="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cs="Wingdings" w:hint="default"/>
      </w:rPr>
    </w:lvl>
    <w:lvl w:ilvl="3" w:tplc="04020001" w:tentative="1">
      <w:start w:val="1"/>
      <w:numFmt w:val="bullet"/>
      <w:lvlText w:val=""/>
      <w:lvlJc w:val="left"/>
      <w:pPr>
        <w:ind w:left="3600" w:hanging="360"/>
      </w:pPr>
      <w:rPr>
        <w:rFonts w:ascii="Symbol" w:hAnsi="Symbol" w:cs="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cs="Wingdings" w:hint="default"/>
      </w:rPr>
    </w:lvl>
    <w:lvl w:ilvl="6" w:tplc="04020001" w:tentative="1">
      <w:start w:val="1"/>
      <w:numFmt w:val="bullet"/>
      <w:lvlText w:val=""/>
      <w:lvlJc w:val="left"/>
      <w:pPr>
        <w:ind w:left="5760" w:hanging="360"/>
      </w:pPr>
      <w:rPr>
        <w:rFonts w:ascii="Symbol" w:hAnsi="Symbol" w:cs="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cs="Wingdings" w:hint="default"/>
      </w:rPr>
    </w:lvl>
  </w:abstractNum>
  <w:abstractNum w:abstractNumId="14">
    <w:nsid w:val="6367307C"/>
    <w:multiLevelType w:val="hybridMultilevel"/>
    <w:tmpl w:val="E2D8024A"/>
    <w:lvl w:ilvl="0" w:tplc="038A3BE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5">
    <w:nsid w:val="637D6D94"/>
    <w:multiLevelType w:val="hybridMultilevel"/>
    <w:tmpl w:val="2A100414"/>
    <w:lvl w:ilvl="0" w:tplc="CD50FB52">
      <w:start w:val="1"/>
      <w:numFmt w:val="decimal"/>
      <w:lvlText w:val="%1."/>
      <w:lvlJc w:val="left"/>
      <w:pPr>
        <w:ind w:left="6030" w:hanging="360"/>
      </w:pPr>
      <w:rPr>
        <w:rFonts w:hint="default"/>
        <w:i w:val="0"/>
        <w:iCs w:val="0"/>
      </w:rPr>
    </w:lvl>
    <w:lvl w:ilvl="1" w:tplc="04020019" w:tentative="1">
      <w:start w:val="1"/>
      <w:numFmt w:val="lowerLetter"/>
      <w:lvlText w:val="%2."/>
      <w:lvlJc w:val="left"/>
      <w:pPr>
        <w:ind w:left="6750" w:hanging="360"/>
      </w:pPr>
    </w:lvl>
    <w:lvl w:ilvl="2" w:tplc="0402001B" w:tentative="1">
      <w:start w:val="1"/>
      <w:numFmt w:val="lowerRoman"/>
      <w:lvlText w:val="%3."/>
      <w:lvlJc w:val="right"/>
      <w:pPr>
        <w:ind w:left="7470" w:hanging="180"/>
      </w:pPr>
    </w:lvl>
    <w:lvl w:ilvl="3" w:tplc="0402000F" w:tentative="1">
      <w:start w:val="1"/>
      <w:numFmt w:val="decimal"/>
      <w:lvlText w:val="%4."/>
      <w:lvlJc w:val="left"/>
      <w:pPr>
        <w:ind w:left="8190" w:hanging="360"/>
      </w:pPr>
    </w:lvl>
    <w:lvl w:ilvl="4" w:tplc="04020019" w:tentative="1">
      <w:start w:val="1"/>
      <w:numFmt w:val="lowerLetter"/>
      <w:lvlText w:val="%5."/>
      <w:lvlJc w:val="left"/>
      <w:pPr>
        <w:ind w:left="8910" w:hanging="360"/>
      </w:pPr>
    </w:lvl>
    <w:lvl w:ilvl="5" w:tplc="0402001B" w:tentative="1">
      <w:start w:val="1"/>
      <w:numFmt w:val="lowerRoman"/>
      <w:lvlText w:val="%6."/>
      <w:lvlJc w:val="right"/>
      <w:pPr>
        <w:ind w:left="9630" w:hanging="180"/>
      </w:pPr>
    </w:lvl>
    <w:lvl w:ilvl="6" w:tplc="0402000F" w:tentative="1">
      <w:start w:val="1"/>
      <w:numFmt w:val="decimal"/>
      <w:lvlText w:val="%7."/>
      <w:lvlJc w:val="left"/>
      <w:pPr>
        <w:ind w:left="10350" w:hanging="360"/>
      </w:pPr>
    </w:lvl>
    <w:lvl w:ilvl="7" w:tplc="04020019" w:tentative="1">
      <w:start w:val="1"/>
      <w:numFmt w:val="lowerLetter"/>
      <w:lvlText w:val="%8."/>
      <w:lvlJc w:val="left"/>
      <w:pPr>
        <w:ind w:left="11070" w:hanging="360"/>
      </w:pPr>
    </w:lvl>
    <w:lvl w:ilvl="8" w:tplc="0402001B" w:tentative="1">
      <w:start w:val="1"/>
      <w:numFmt w:val="lowerRoman"/>
      <w:lvlText w:val="%9."/>
      <w:lvlJc w:val="right"/>
      <w:pPr>
        <w:ind w:left="11790" w:hanging="180"/>
      </w:pPr>
    </w:lvl>
  </w:abstractNum>
  <w:abstractNum w:abstractNumId="16">
    <w:nsid w:val="65E26314"/>
    <w:multiLevelType w:val="hybridMultilevel"/>
    <w:tmpl w:val="84041946"/>
    <w:lvl w:ilvl="0" w:tplc="04020001">
      <w:start w:val="1"/>
      <w:numFmt w:val="bullet"/>
      <w:lvlText w:val=""/>
      <w:lvlJc w:val="left"/>
      <w:pPr>
        <w:ind w:left="1429" w:hanging="360"/>
      </w:pPr>
      <w:rPr>
        <w:rFonts w:ascii="Symbol" w:hAnsi="Symbol" w:cs="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cs="Wingdings" w:hint="default"/>
      </w:rPr>
    </w:lvl>
    <w:lvl w:ilvl="3" w:tplc="04020001" w:tentative="1">
      <w:start w:val="1"/>
      <w:numFmt w:val="bullet"/>
      <w:lvlText w:val=""/>
      <w:lvlJc w:val="left"/>
      <w:pPr>
        <w:ind w:left="3589" w:hanging="360"/>
      </w:pPr>
      <w:rPr>
        <w:rFonts w:ascii="Symbol" w:hAnsi="Symbol" w:cs="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cs="Wingdings" w:hint="default"/>
      </w:rPr>
    </w:lvl>
    <w:lvl w:ilvl="6" w:tplc="04020001" w:tentative="1">
      <w:start w:val="1"/>
      <w:numFmt w:val="bullet"/>
      <w:lvlText w:val=""/>
      <w:lvlJc w:val="left"/>
      <w:pPr>
        <w:ind w:left="5749" w:hanging="360"/>
      </w:pPr>
      <w:rPr>
        <w:rFonts w:ascii="Symbol" w:hAnsi="Symbol" w:cs="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cs="Wingdings" w:hint="default"/>
      </w:rPr>
    </w:lvl>
  </w:abstractNum>
  <w:abstractNum w:abstractNumId="17">
    <w:nsid w:val="6D6D439D"/>
    <w:multiLevelType w:val="hybridMultilevel"/>
    <w:tmpl w:val="23DE5DE4"/>
    <w:lvl w:ilvl="0" w:tplc="D7EAD3B6">
      <w:start w:val="1"/>
      <w:numFmt w:val="decimal"/>
      <w:lvlText w:val="%1."/>
      <w:lvlJc w:val="left"/>
      <w:pPr>
        <w:ind w:left="1440" w:hanging="360"/>
      </w:pPr>
      <w:rPr>
        <w:rFonts w:hint="default"/>
        <w:b/>
        <w:bCs/>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8">
    <w:nsid w:val="79BA1B69"/>
    <w:multiLevelType w:val="hybridMultilevel"/>
    <w:tmpl w:val="B2AE464A"/>
    <w:lvl w:ilvl="0" w:tplc="0402000B">
      <w:start w:val="1"/>
      <w:numFmt w:val="bullet"/>
      <w:lvlText w:val=""/>
      <w:lvlJc w:val="left"/>
      <w:pPr>
        <w:ind w:left="1429" w:hanging="360"/>
      </w:pPr>
      <w:rPr>
        <w:rFonts w:ascii="Wingdings" w:hAnsi="Wingdings" w:cs="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cs="Wingdings" w:hint="default"/>
      </w:rPr>
    </w:lvl>
    <w:lvl w:ilvl="3" w:tplc="04020001" w:tentative="1">
      <w:start w:val="1"/>
      <w:numFmt w:val="bullet"/>
      <w:lvlText w:val=""/>
      <w:lvlJc w:val="left"/>
      <w:pPr>
        <w:ind w:left="3589" w:hanging="360"/>
      </w:pPr>
      <w:rPr>
        <w:rFonts w:ascii="Symbol" w:hAnsi="Symbol" w:cs="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cs="Wingdings" w:hint="default"/>
      </w:rPr>
    </w:lvl>
    <w:lvl w:ilvl="6" w:tplc="04020001" w:tentative="1">
      <w:start w:val="1"/>
      <w:numFmt w:val="bullet"/>
      <w:lvlText w:val=""/>
      <w:lvlJc w:val="left"/>
      <w:pPr>
        <w:ind w:left="5749" w:hanging="360"/>
      </w:pPr>
      <w:rPr>
        <w:rFonts w:ascii="Symbol" w:hAnsi="Symbol" w:cs="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cs="Wingdings" w:hint="default"/>
      </w:rPr>
    </w:lvl>
  </w:abstractNum>
  <w:abstractNum w:abstractNumId="19">
    <w:nsid w:val="7AD34199"/>
    <w:multiLevelType w:val="hybridMultilevel"/>
    <w:tmpl w:val="EA648DD8"/>
    <w:lvl w:ilvl="0" w:tplc="6834F79E">
      <w:start w:val="1"/>
      <w:numFmt w:val="decimal"/>
      <w:lvlText w:val="%1."/>
      <w:lvlJc w:val="left"/>
      <w:pPr>
        <w:ind w:left="108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0">
    <w:nsid w:val="7C547CB8"/>
    <w:multiLevelType w:val="multilevel"/>
    <w:tmpl w:val="6316BA02"/>
    <w:lvl w:ilvl="0">
      <w:start w:val="3"/>
      <w:numFmt w:val="decimal"/>
      <w:lvlText w:val="%1."/>
      <w:lvlJc w:val="left"/>
      <w:pPr>
        <w:ind w:left="1429" w:hanging="360"/>
      </w:pPr>
      <w:rPr>
        <w:rFonts w:hint="default"/>
        <w:b/>
        <w:bCs/>
      </w:rPr>
    </w:lvl>
    <w:lvl w:ilvl="1">
      <w:start w:val="1"/>
      <w:numFmt w:val="decimal"/>
      <w:isLgl/>
      <w:lvlText w:val="%1.%2."/>
      <w:lvlJc w:val="left"/>
      <w:pPr>
        <w:ind w:left="1271" w:hanging="420"/>
      </w:pPr>
      <w:rPr>
        <w:rFonts w:hint="default"/>
        <w:b/>
        <w:bCs/>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num w:numId="1">
    <w:abstractNumId w:val="8"/>
  </w:num>
  <w:num w:numId="2">
    <w:abstractNumId w:val="14"/>
  </w:num>
  <w:num w:numId="3">
    <w:abstractNumId w:val="0"/>
  </w:num>
  <w:num w:numId="4">
    <w:abstractNumId w:val="11"/>
  </w:num>
  <w:num w:numId="5">
    <w:abstractNumId w:val="18"/>
  </w:num>
  <w:num w:numId="6">
    <w:abstractNumId w:val="19"/>
  </w:num>
  <w:num w:numId="7">
    <w:abstractNumId w:val="15"/>
  </w:num>
  <w:num w:numId="8">
    <w:abstractNumId w:val="7"/>
  </w:num>
  <w:num w:numId="9">
    <w:abstractNumId w:val="10"/>
  </w:num>
  <w:num w:numId="10">
    <w:abstractNumId w:val="20"/>
  </w:num>
  <w:num w:numId="11">
    <w:abstractNumId w:val="4"/>
  </w:num>
  <w:num w:numId="12">
    <w:abstractNumId w:val="5"/>
  </w:num>
  <w:num w:numId="13">
    <w:abstractNumId w:val="3"/>
  </w:num>
  <w:num w:numId="14">
    <w:abstractNumId w:val="12"/>
  </w:num>
  <w:num w:numId="15">
    <w:abstractNumId w:val="6"/>
  </w:num>
  <w:num w:numId="16">
    <w:abstractNumId w:val="9"/>
  </w:num>
  <w:num w:numId="17">
    <w:abstractNumId w:val="1"/>
  </w:num>
  <w:num w:numId="18">
    <w:abstractNumId w:val="17"/>
  </w:num>
  <w:num w:numId="19">
    <w:abstractNumId w:val="13"/>
  </w:num>
  <w:num w:numId="20">
    <w:abstractNumId w:val="2"/>
  </w:num>
  <w:num w:numId="21">
    <w:abstractNumId w:val="12"/>
  </w:num>
  <w:num w:numId="22">
    <w:abstractNumId w:val="12"/>
  </w:num>
  <w:num w:numId="23">
    <w:abstractNumId w:val="1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7A2A"/>
    <w:rsid w:val="00003CD6"/>
    <w:rsid w:val="00004A17"/>
    <w:rsid w:val="000100C7"/>
    <w:rsid w:val="00011554"/>
    <w:rsid w:val="00011599"/>
    <w:rsid w:val="00013796"/>
    <w:rsid w:val="00015D3C"/>
    <w:rsid w:val="0002060B"/>
    <w:rsid w:val="00021C08"/>
    <w:rsid w:val="0002243C"/>
    <w:rsid w:val="0002370C"/>
    <w:rsid w:val="00024B79"/>
    <w:rsid w:val="000252F0"/>
    <w:rsid w:val="0002779F"/>
    <w:rsid w:val="00035DE5"/>
    <w:rsid w:val="00043655"/>
    <w:rsid w:val="0004436A"/>
    <w:rsid w:val="00056973"/>
    <w:rsid w:val="0006183C"/>
    <w:rsid w:val="00065204"/>
    <w:rsid w:val="000656F0"/>
    <w:rsid w:val="000658F6"/>
    <w:rsid w:val="00067C22"/>
    <w:rsid w:val="00071956"/>
    <w:rsid w:val="0007474D"/>
    <w:rsid w:val="000779D0"/>
    <w:rsid w:val="00080FCF"/>
    <w:rsid w:val="0008141C"/>
    <w:rsid w:val="0008655E"/>
    <w:rsid w:val="0009252A"/>
    <w:rsid w:val="00094214"/>
    <w:rsid w:val="000A1653"/>
    <w:rsid w:val="000A2D59"/>
    <w:rsid w:val="000A3FCA"/>
    <w:rsid w:val="000A400E"/>
    <w:rsid w:val="000A647A"/>
    <w:rsid w:val="000B16CB"/>
    <w:rsid w:val="000B2EB6"/>
    <w:rsid w:val="000B50CC"/>
    <w:rsid w:val="000B6D03"/>
    <w:rsid w:val="000B7435"/>
    <w:rsid w:val="000C2B7F"/>
    <w:rsid w:val="000C3105"/>
    <w:rsid w:val="000C4F9B"/>
    <w:rsid w:val="000C516E"/>
    <w:rsid w:val="000C61B1"/>
    <w:rsid w:val="000D0767"/>
    <w:rsid w:val="000D6206"/>
    <w:rsid w:val="000E32ED"/>
    <w:rsid w:val="000E610F"/>
    <w:rsid w:val="000E6E86"/>
    <w:rsid w:val="000F10B7"/>
    <w:rsid w:val="000F397E"/>
    <w:rsid w:val="000F6D57"/>
    <w:rsid w:val="0010072C"/>
    <w:rsid w:val="00105DCE"/>
    <w:rsid w:val="001068E7"/>
    <w:rsid w:val="0011673E"/>
    <w:rsid w:val="001205D1"/>
    <w:rsid w:val="00123A26"/>
    <w:rsid w:val="00123D4E"/>
    <w:rsid w:val="00124AD4"/>
    <w:rsid w:val="00125D13"/>
    <w:rsid w:val="001276D2"/>
    <w:rsid w:val="00132C74"/>
    <w:rsid w:val="0013558F"/>
    <w:rsid w:val="001362D7"/>
    <w:rsid w:val="00137685"/>
    <w:rsid w:val="00145728"/>
    <w:rsid w:val="00146B1E"/>
    <w:rsid w:val="00163541"/>
    <w:rsid w:val="00164C80"/>
    <w:rsid w:val="001709BB"/>
    <w:rsid w:val="00171A8A"/>
    <w:rsid w:val="00181359"/>
    <w:rsid w:val="001851E2"/>
    <w:rsid w:val="00186AF0"/>
    <w:rsid w:val="00186B87"/>
    <w:rsid w:val="001947E5"/>
    <w:rsid w:val="00196C0C"/>
    <w:rsid w:val="00197B5B"/>
    <w:rsid w:val="001A13BE"/>
    <w:rsid w:val="001A41CC"/>
    <w:rsid w:val="001A6B28"/>
    <w:rsid w:val="001B084C"/>
    <w:rsid w:val="001B1131"/>
    <w:rsid w:val="001B2288"/>
    <w:rsid w:val="001B785E"/>
    <w:rsid w:val="001B7A43"/>
    <w:rsid w:val="001B7E96"/>
    <w:rsid w:val="001C18F2"/>
    <w:rsid w:val="001C2686"/>
    <w:rsid w:val="001C2BC7"/>
    <w:rsid w:val="001C3CA5"/>
    <w:rsid w:val="001C3EB9"/>
    <w:rsid w:val="001C4884"/>
    <w:rsid w:val="001C5FFE"/>
    <w:rsid w:val="001F2A2F"/>
    <w:rsid w:val="001F2A4D"/>
    <w:rsid w:val="001F4E0A"/>
    <w:rsid w:val="00200FD7"/>
    <w:rsid w:val="00205005"/>
    <w:rsid w:val="00205136"/>
    <w:rsid w:val="00205B78"/>
    <w:rsid w:val="00207696"/>
    <w:rsid w:val="002165D7"/>
    <w:rsid w:val="00220528"/>
    <w:rsid w:val="002238E6"/>
    <w:rsid w:val="002328BE"/>
    <w:rsid w:val="00236556"/>
    <w:rsid w:val="002410E3"/>
    <w:rsid w:val="00243B72"/>
    <w:rsid w:val="0024798A"/>
    <w:rsid w:val="00251341"/>
    <w:rsid w:val="002548C0"/>
    <w:rsid w:val="00260C8D"/>
    <w:rsid w:val="00263CDC"/>
    <w:rsid w:val="00264502"/>
    <w:rsid w:val="00274D7E"/>
    <w:rsid w:val="00277185"/>
    <w:rsid w:val="00280799"/>
    <w:rsid w:val="00280B56"/>
    <w:rsid w:val="002821F0"/>
    <w:rsid w:val="00284E8D"/>
    <w:rsid w:val="0028689D"/>
    <w:rsid w:val="00286EE7"/>
    <w:rsid w:val="002928AE"/>
    <w:rsid w:val="002929FE"/>
    <w:rsid w:val="00296201"/>
    <w:rsid w:val="00296470"/>
    <w:rsid w:val="00296DA7"/>
    <w:rsid w:val="002975F9"/>
    <w:rsid w:val="002A478F"/>
    <w:rsid w:val="002B0E13"/>
    <w:rsid w:val="002C5967"/>
    <w:rsid w:val="002D1BB8"/>
    <w:rsid w:val="002D36BE"/>
    <w:rsid w:val="002D482D"/>
    <w:rsid w:val="002D4BA0"/>
    <w:rsid w:val="002D5A26"/>
    <w:rsid w:val="002D5FC6"/>
    <w:rsid w:val="002D6578"/>
    <w:rsid w:val="002E01BB"/>
    <w:rsid w:val="002E2A0B"/>
    <w:rsid w:val="002E5E64"/>
    <w:rsid w:val="002E7527"/>
    <w:rsid w:val="002F2247"/>
    <w:rsid w:val="002F3B02"/>
    <w:rsid w:val="002F4398"/>
    <w:rsid w:val="002F65CA"/>
    <w:rsid w:val="002F66FB"/>
    <w:rsid w:val="002F71FD"/>
    <w:rsid w:val="002F7BFA"/>
    <w:rsid w:val="00311F2C"/>
    <w:rsid w:val="00320458"/>
    <w:rsid w:val="00322F2E"/>
    <w:rsid w:val="00323EA0"/>
    <w:rsid w:val="003270C0"/>
    <w:rsid w:val="003309D4"/>
    <w:rsid w:val="003357EF"/>
    <w:rsid w:val="00341EA3"/>
    <w:rsid w:val="00343B99"/>
    <w:rsid w:val="00346305"/>
    <w:rsid w:val="00350B4C"/>
    <w:rsid w:val="00350B68"/>
    <w:rsid w:val="00351575"/>
    <w:rsid w:val="00351EDB"/>
    <w:rsid w:val="00352936"/>
    <w:rsid w:val="00361DA7"/>
    <w:rsid w:val="003721FE"/>
    <w:rsid w:val="00372656"/>
    <w:rsid w:val="0037622C"/>
    <w:rsid w:val="00377580"/>
    <w:rsid w:val="00384963"/>
    <w:rsid w:val="00384EC4"/>
    <w:rsid w:val="003903A3"/>
    <w:rsid w:val="00390F31"/>
    <w:rsid w:val="00393566"/>
    <w:rsid w:val="003A0701"/>
    <w:rsid w:val="003A32C6"/>
    <w:rsid w:val="003A54EA"/>
    <w:rsid w:val="003A558C"/>
    <w:rsid w:val="003A6F39"/>
    <w:rsid w:val="003B0903"/>
    <w:rsid w:val="003B12E2"/>
    <w:rsid w:val="003B2FC6"/>
    <w:rsid w:val="003B6DD8"/>
    <w:rsid w:val="003B780E"/>
    <w:rsid w:val="003C0527"/>
    <w:rsid w:val="003C2FF6"/>
    <w:rsid w:val="003C6D1B"/>
    <w:rsid w:val="003D25F2"/>
    <w:rsid w:val="003D32A4"/>
    <w:rsid w:val="003D5516"/>
    <w:rsid w:val="003F2DD5"/>
    <w:rsid w:val="003F433D"/>
    <w:rsid w:val="003F441A"/>
    <w:rsid w:val="003F5B93"/>
    <w:rsid w:val="0040154D"/>
    <w:rsid w:val="0040300C"/>
    <w:rsid w:val="00410F5E"/>
    <w:rsid w:val="00417EE1"/>
    <w:rsid w:val="00421BC8"/>
    <w:rsid w:val="00422E52"/>
    <w:rsid w:val="00423A70"/>
    <w:rsid w:val="00425113"/>
    <w:rsid w:val="0043006A"/>
    <w:rsid w:val="004301EE"/>
    <w:rsid w:val="00430371"/>
    <w:rsid w:val="00433349"/>
    <w:rsid w:val="004335AC"/>
    <w:rsid w:val="00440BB1"/>
    <w:rsid w:val="00444866"/>
    <w:rsid w:val="004450D6"/>
    <w:rsid w:val="00445795"/>
    <w:rsid w:val="00445C56"/>
    <w:rsid w:val="004517BD"/>
    <w:rsid w:val="0045444F"/>
    <w:rsid w:val="004559EC"/>
    <w:rsid w:val="00461004"/>
    <w:rsid w:val="004611D8"/>
    <w:rsid w:val="00463C56"/>
    <w:rsid w:val="00464CB7"/>
    <w:rsid w:val="00466F4F"/>
    <w:rsid w:val="00475022"/>
    <w:rsid w:val="00475E52"/>
    <w:rsid w:val="00476128"/>
    <w:rsid w:val="00477327"/>
    <w:rsid w:val="004835E6"/>
    <w:rsid w:val="004839C3"/>
    <w:rsid w:val="004872C8"/>
    <w:rsid w:val="004905E0"/>
    <w:rsid w:val="00491E02"/>
    <w:rsid w:val="004A1224"/>
    <w:rsid w:val="004B01B6"/>
    <w:rsid w:val="004B18CA"/>
    <w:rsid w:val="004B48D2"/>
    <w:rsid w:val="004B4C5F"/>
    <w:rsid w:val="004B5BF7"/>
    <w:rsid w:val="004B5C3F"/>
    <w:rsid w:val="004C20DC"/>
    <w:rsid w:val="004C325F"/>
    <w:rsid w:val="004C5C60"/>
    <w:rsid w:val="004C6799"/>
    <w:rsid w:val="004E4035"/>
    <w:rsid w:val="004E4155"/>
    <w:rsid w:val="004E59FC"/>
    <w:rsid w:val="004E6974"/>
    <w:rsid w:val="004E697D"/>
    <w:rsid w:val="004E69C1"/>
    <w:rsid w:val="004F4B58"/>
    <w:rsid w:val="004F7015"/>
    <w:rsid w:val="004F7D42"/>
    <w:rsid w:val="0050126A"/>
    <w:rsid w:val="00502EB1"/>
    <w:rsid w:val="00504651"/>
    <w:rsid w:val="00504D0A"/>
    <w:rsid w:val="00505A40"/>
    <w:rsid w:val="005200E6"/>
    <w:rsid w:val="0052294C"/>
    <w:rsid w:val="00524B05"/>
    <w:rsid w:val="005250A0"/>
    <w:rsid w:val="00531EE5"/>
    <w:rsid w:val="00535F4A"/>
    <w:rsid w:val="00543B06"/>
    <w:rsid w:val="00543E68"/>
    <w:rsid w:val="00544505"/>
    <w:rsid w:val="00550B11"/>
    <w:rsid w:val="00550DC8"/>
    <w:rsid w:val="00552211"/>
    <w:rsid w:val="00552605"/>
    <w:rsid w:val="00552978"/>
    <w:rsid w:val="005565D4"/>
    <w:rsid w:val="00556E2F"/>
    <w:rsid w:val="00560422"/>
    <w:rsid w:val="005618DC"/>
    <w:rsid w:val="00561A46"/>
    <w:rsid w:val="005746C7"/>
    <w:rsid w:val="00575334"/>
    <w:rsid w:val="00576217"/>
    <w:rsid w:val="00576393"/>
    <w:rsid w:val="0057736B"/>
    <w:rsid w:val="0058102B"/>
    <w:rsid w:val="00581CED"/>
    <w:rsid w:val="005828DC"/>
    <w:rsid w:val="00582E11"/>
    <w:rsid w:val="00582EEA"/>
    <w:rsid w:val="00584351"/>
    <w:rsid w:val="00587456"/>
    <w:rsid w:val="00591B3B"/>
    <w:rsid w:val="005942BA"/>
    <w:rsid w:val="00594BAD"/>
    <w:rsid w:val="0059571D"/>
    <w:rsid w:val="00596A88"/>
    <w:rsid w:val="005A319F"/>
    <w:rsid w:val="005A57BA"/>
    <w:rsid w:val="005A78F6"/>
    <w:rsid w:val="005B6537"/>
    <w:rsid w:val="005B686F"/>
    <w:rsid w:val="005B70EA"/>
    <w:rsid w:val="005B719B"/>
    <w:rsid w:val="005C165C"/>
    <w:rsid w:val="005C41E6"/>
    <w:rsid w:val="005C4445"/>
    <w:rsid w:val="005D23F8"/>
    <w:rsid w:val="005D4703"/>
    <w:rsid w:val="005D6E3D"/>
    <w:rsid w:val="005D782F"/>
    <w:rsid w:val="005E500D"/>
    <w:rsid w:val="005E6CFA"/>
    <w:rsid w:val="005E7B87"/>
    <w:rsid w:val="005F02E2"/>
    <w:rsid w:val="005F1984"/>
    <w:rsid w:val="005F3963"/>
    <w:rsid w:val="005F72A2"/>
    <w:rsid w:val="006117E3"/>
    <w:rsid w:val="00612040"/>
    <w:rsid w:val="00623664"/>
    <w:rsid w:val="00625F15"/>
    <w:rsid w:val="0064017B"/>
    <w:rsid w:val="006422C0"/>
    <w:rsid w:val="006424E0"/>
    <w:rsid w:val="00651C29"/>
    <w:rsid w:val="00654CF9"/>
    <w:rsid w:val="006551A6"/>
    <w:rsid w:val="00657A87"/>
    <w:rsid w:val="006608C4"/>
    <w:rsid w:val="006610BE"/>
    <w:rsid w:val="006671B3"/>
    <w:rsid w:val="00667E63"/>
    <w:rsid w:val="00680D4B"/>
    <w:rsid w:val="006824B7"/>
    <w:rsid w:val="00684224"/>
    <w:rsid w:val="00685604"/>
    <w:rsid w:val="006876D1"/>
    <w:rsid w:val="00691308"/>
    <w:rsid w:val="00691E45"/>
    <w:rsid w:val="00694851"/>
    <w:rsid w:val="006A0118"/>
    <w:rsid w:val="006A1915"/>
    <w:rsid w:val="006A216F"/>
    <w:rsid w:val="006A503F"/>
    <w:rsid w:val="006A76BB"/>
    <w:rsid w:val="006B6047"/>
    <w:rsid w:val="006B743F"/>
    <w:rsid w:val="006B7562"/>
    <w:rsid w:val="006C43E8"/>
    <w:rsid w:val="006C740E"/>
    <w:rsid w:val="006D11EC"/>
    <w:rsid w:val="006D20E3"/>
    <w:rsid w:val="006D3555"/>
    <w:rsid w:val="006D3C21"/>
    <w:rsid w:val="006D4CFC"/>
    <w:rsid w:val="006E17CE"/>
    <w:rsid w:val="006E1B60"/>
    <w:rsid w:val="006E5CD8"/>
    <w:rsid w:val="006F0405"/>
    <w:rsid w:val="00700D5F"/>
    <w:rsid w:val="0070149C"/>
    <w:rsid w:val="00701BC0"/>
    <w:rsid w:val="0070224C"/>
    <w:rsid w:val="00706596"/>
    <w:rsid w:val="0071296B"/>
    <w:rsid w:val="00713D9B"/>
    <w:rsid w:val="0071504C"/>
    <w:rsid w:val="007173E2"/>
    <w:rsid w:val="00722AF1"/>
    <w:rsid w:val="007300F4"/>
    <w:rsid w:val="0073054B"/>
    <w:rsid w:val="007315AD"/>
    <w:rsid w:val="00732FE8"/>
    <w:rsid w:val="0073466A"/>
    <w:rsid w:val="00735AA5"/>
    <w:rsid w:val="00740B97"/>
    <w:rsid w:val="00741BC0"/>
    <w:rsid w:val="00741CEE"/>
    <w:rsid w:val="007421FB"/>
    <w:rsid w:val="00742513"/>
    <w:rsid w:val="0075313C"/>
    <w:rsid w:val="00755208"/>
    <w:rsid w:val="00755CD7"/>
    <w:rsid w:val="007564CB"/>
    <w:rsid w:val="007631DE"/>
    <w:rsid w:val="00766DC9"/>
    <w:rsid w:val="00770D11"/>
    <w:rsid w:val="00776C41"/>
    <w:rsid w:val="00781F98"/>
    <w:rsid w:val="00782CED"/>
    <w:rsid w:val="00785A47"/>
    <w:rsid w:val="00796893"/>
    <w:rsid w:val="007B00D2"/>
    <w:rsid w:val="007B2A33"/>
    <w:rsid w:val="007B5103"/>
    <w:rsid w:val="007C3317"/>
    <w:rsid w:val="007C6E63"/>
    <w:rsid w:val="007C75A3"/>
    <w:rsid w:val="007D2C19"/>
    <w:rsid w:val="007D3954"/>
    <w:rsid w:val="007D7337"/>
    <w:rsid w:val="007E2B94"/>
    <w:rsid w:val="007E4A68"/>
    <w:rsid w:val="007F1BAF"/>
    <w:rsid w:val="007F5EDF"/>
    <w:rsid w:val="007F6628"/>
    <w:rsid w:val="007F68E9"/>
    <w:rsid w:val="007F773F"/>
    <w:rsid w:val="00800D3E"/>
    <w:rsid w:val="008034B1"/>
    <w:rsid w:val="008070D0"/>
    <w:rsid w:val="008105A2"/>
    <w:rsid w:val="00810665"/>
    <w:rsid w:val="00814573"/>
    <w:rsid w:val="00822813"/>
    <w:rsid w:val="008228F8"/>
    <w:rsid w:val="00830370"/>
    <w:rsid w:val="00832488"/>
    <w:rsid w:val="008340D0"/>
    <w:rsid w:val="008400C3"/>
    <w:rsid w:val="0084120E"/>
    <w:rsid w:val="00845E51"/>
    <w:rsid w:val="00847BF9"/>
    <w:rsid w:val="0085114D"/>
    <w:rsid w:val="00851555"/>
    <w:rsid w:val="00852363"/>
    <w:rsid w:val="008549D0"/>
    <w:rsid w:val="008572E2"/>
    <w:rsid w:val="00860412"/>
    <w:rsid w:val="008672BF"/>
    <w:rsid w:val="008700AB"/>
    <w:rsid w:val="008709F0"/>
    <w:rsid w:val="008712FD"/>
    <w:rsid w:val="00872024"/>
    <w:rsid w:val="00872460"/>
    <w:rsid w:val="008735CE"/>
    <w:rsid w:val="0087395A"/>
    <w:rsid w:val="00875F09"/>
    <w:rsid w:val="008842D6"/>
    <w:rsid w:val="008871AA"/>
    <w:rsid w:val="00893AD9"/>
    <w:rsid w:val="008975EC"/>
    <w:rsid w:val="008A00CE"/>
    <w:rsid w:val="008A0A07"/>
    <w:rsid w:val="008A454B"/>
    <w:rsid w:val="008A6B78"/>
    <w:rsid w:val="008A7A2A"/>
    <w:rsid w:val="008B1773"/>
    <w:rsid w:val="008B4DA6"/>
    <w:rsid w:val="008B6A71"/>
    <w:rsid w:val="008B74F5"/>
    <w:rsid w:val="008D1D5C"/>
    <w:rsid w:val="008F558A"/>
    <w:rsid w:val="008F716F"/>
    <w:rsid w:val="00900FF6"/>
    <w:rsid w:val="00915621"/>
    <w:rsid w:val="009300B7"/>
    <w:rsid w:val="00933AD6"/>
    <w:rsid w:val="00935A4B"/>
    <w:rsid w:val="009379D1"/>
    <w:rsid w:val="00937E3C"/>
    <w:rsid w:val="00940F59"/>
    <w:rsid w:val="00941362"/>
    <w:rsid w:val="00941EB1"/>
    <w:rsid w:val="00952A50"/>
    <w:rsid w:val="00955E41"/>
    <w:rsid w:val="00957F97"/>
    <w:rsid w:val="00960DC9"/>
    <w:rsid w:val="009612A0"/>
    <w:rsid w:val="009648C2"/>
    <w:rsid w:val="009653FC"/>
    <w:rsid w:val="00981795"/>
    <w:rsid w:val="00982938"/>
    <w:rsid w:val="0098650A"/>
    <w:rsid w:val="00991F97"/>
    <w:rsid w:val="00994F8F"/>
    <w:rsid w:val="009A00BE"/>
    <w:rsid w:val="009A1CF7"/>
    <w:rsid w:val="009A65F5"/>
    <w:rsid w:val="009B02D4"/>
    <w:rsid w:val="009B0CC4"/>
    <w:rsid w:val="009B5D60"/>
    <w:rsid w:val="009B63FB"/>
    <w:rsid w:val="009C092E"/>
    <w:rsid w:val="009C165D"/>
    <w:rsid w:val="009C2698"/>
    <w:rsid w:val="009C39F8"/>
    <w:rsid w:val="009D02FF"/>
    <w:rsid w:val="009D1058"/>
    <w:rsid w:val="009D16E5"/>
    <w:rsid w:val="009D483A"/>
    <w:rsid w:val="009D7DBA"/>
    <w:rsid w:val="009E2E54"/>
    <w:rsid w:val="009E52AE"/>
    <w:rsid w:val="009E54A1"/>
    <w:rsid w:val="009E5AA2"/>
    <w:rsid w:val="009E6672"/>
    <w:rsid w:val="009F0678"/>
    <w:rsid w:val="009F53A2"/>
    <w:rsid w:val="00A0134E"/>
    <w:rsid w:val="00A02102"/>
    <w:rsid w:val="00A15F50"/>
    <w:rsid w:val="00A21AE6"/>
    <w:rsid w:val="00A22ABC"/>
    <w:rsid w:val="00A34DAD"/>
    <w:rsid w:val="00A35576"/>
    <w:rsid w:val="00A44DDC"/>
    <w:rsid w:val="00A47D52"/>
    <w:rsid w:val="00A61C50"/>
    <w:rsid w:val="00A63B49"/>
    <w:rsid w:val="00A67998"/>
    <w:rsid w:val="00A72272"/>
    <w:rsid w:val="00A72AC6"/>
    <w:rsid w:val="00A764F7"/>
    <w:rsid w:val="00A86419"/>
    <w:rsid w:val="00A9379F"/>
    <w:rsid w:val="00A95F51"/>
    <w:rsid w:val="00AA44C9"/>
    <w:rsid w:val="00AB0736"/>
    <w:rsid w:val="00AB3793"/>
    <w:rsid w:val="00AB3BA5"/>
    <w:rsid w:val="00AC23DC"/>
    <w:rsid w:val="00AC6ABD"/>
    <w:rsid w:val="00AD50CE"/>
    <w:rsid w:val="00AE2A1B"/>
    <w:rsid w:val="00AE7DD4"/>
    <w:rsid w:val="00AF03F6"/>
    <w:rsid w:val="00B15C1A"/>
    <w:rsid w:val="00B15D80"/>
    <w:rsid w:val="00B1775C"/>
    <w:rsid w:val="00B17A8D"/>
    <w:rsid w:val="00B25897"/>
    <w:rsid w:val="00B3148D"/>
    <w:rsid w:val="00B3248C"/>
    <w:rsid w:val="00B35997"/>
    <w:rsid w:val="00B467FA"/>
    <w:rsid w:val="00B569C2"/>
    <w:rsid w:val="00B60332"/>
    <w:rsid w:val="00B6199E"/>
    <w:rsid w:val="00B65F0B"/>
    <w:rsid w:val="00B66536"/>
    <w:rsid w:val="00B74C98"/>
    <w:rsid w:val="00B75124"/>
    <w:rsid w:val="00B753C3"/>
    <w:rsid w:val="00B831F8"/>
    <w:rsid w:val="00B913A4"/>
    <w:rsid w:val="00B93FBB"/>
    <w:rsid w:val="00B94709"/>
    <w:rsid w:val="00BA15FE"/>
    <w:rsid w:val="00BA2E7B"/>
    <w:rsid w:val="00BA3B94"/>
    <w:rsid w:val="00BB2E2B"/>
    <w:rsid w:val="00BB3DDD"/>
    <w:rsid w:val="00BC0DC3"/>
    <w:rsid w:val="00BC40F0"/>
    <w:rsid w:val="00BC7D7A"/>
    <w:rsid w:val="00BD070D"/>
    <w:rsid w:val="00BD1C84"/>
    <w:rsid w:val="00BD4CC4"/>
    <w:rsid w:val="00BD6970"/>
    <w:rsid w:val="00BD784D"/>
    <w:rsid w:val="00BE0443"/>
    <w:rsid w:val="00BF6161"/>
    <w:rsid w:val="00C009AF"/>
    <w:rsid w:val="00C02F40"/>
    <w:rsid w:val="00C1222D"/>
    <w:rsid w:val="00C12596"/>
    <w:rsid w:val="00C163A7"/>
    <w:rsid w:val="00C32734"/>
    <w:rsid w:val="00C327A8"/>
    <w:rsid w:val="00C328E4"/>
    <w:rsid w:val="00C352C4"/>
    <w:rsid w:val="00C35547"/>
    <w:rsid w:val="00C35E27"/>
    <w:rsid w:val="00C36521"/>
    <w:rsid w:val="00C37B92"/>
    <w:rsid w:val="00C51547"/>
    <w:rsid w:val="00C53211"/>
    <w:rsid w:val="00C54D8C"/>
    <w:rsid w:val="00C56C43"/>
    <w:rsid w:val="00C67E1F"/>
    <w:rsid w:val="00C736E2"/>
    <w:rsid w:val="00C77EFE"/>
    <w:rsid w:val="00C80BF6"/>
    <w:rsid w:val="00C922EF"/>
    <w:rsid w:val="00C92EE2"/>
    <w:rsid w:val="00C932B9"/>
    <w:rsid w:val="00C97F4C"/>
    <w:rsid w:val="00CA2556"/>
    <w:rsid w:val="00CA5418"/>
    <w:rsid w:val="00CB0830"/>
    <w:rsid w:val="00CB4EE0"/>
    <w:rsid w:val="00CB76E3"/>
    <w:rsid w:val="00CC41CE"/>
    <w:rsid w:val="00CD2896"/>
    <w:rsid w:val="00CD316A"/>
    <w:rsid w:val="00CD318F"/>
    <w:rsid w:val="00CE03C0"/>
    <w:rsid w:val="00CE337D"/>
    <w:rsid w:val="00CF1C5B"/>
    <w:rsid w:val="00CF5629"/>
    <w:rsid w:val="00CF6769"/>
    <w:rsid w:val="00CF78C6"/>
    <w:rsid w:val="00CF7CFC"/>
    <w:rsid w:val="00D037D0"/>
    <w:rsid w:val="00D07236"/>
    <w:rsid w:val="00D14A94"/>
    <w:rsid w:val="00D23E4F"/>
    <w:rsid w:val="00D2734D"/>
    <w:rsid w:val="00D27951"/>
    <w:rsid w:val="00D321BC"/>
    <w:rsid w:val="00D37EE6"/>
    <w:rsid w:val="00D40BF9"/>
    <w:rsid w:val="00D42C0D"/>
    <w:rsid w:val="00D45B1D"/>
    <w:rsid w:val="00D46728"/>
    <w:rsid w:val="00D478F8"/>
    <w:rsid w:val="00D4794D"/>
    <w:rsid w:val="00D51A89"/>
    <w:rsid w:val="00D53C35"/>
    <w:rsid w:val="00D60F06"/>
    <w:rsid w:val="00D61CDC"/>
    <w:rsid w:val="00D64424"/>
    <w:rsid w:val="00D66F09"/>
    <w:rsid w:val="00D751D7"/>
    <w:rsid w:val="00D75FA5"/>
    <w:rsid w:val="00D803B6"/>
    <w:rsid w:val="00D81EF2"/>
    <w:rsid w:val="00D84B3A"/>
    <w:rsid w:val="00DA1616"/>
    <w:rsid w:val="00DA1CD6"/>
    <w:rsid w:val="00DA4C78"/>
    <w:rsid w:val="00DA6BC0"/>
    <w:rsid w:val="00DB0E02"/>
    <w:rsid w:val="00DB37FE"/>
    <w:rsid w:val="00DB40AA"/>
    <w:rsid w:val="00DB410A"/>
    <w:rsid w:val="00DB4825"/>
    <w:rsid w:val="00DB5120"/>
    <w:rsid w:val="00DB5A5D"/>
    <w:rsid w:val="00DC24BC"/>
    <w:rsid w:val="00DC7C5B"/>
    <w:rsid w:val="00DC7DFC"/>
    <w:rsid w:val="00DD1827"/>
    <w:rsid w:val="00DD355D"/>
    <w:rsid w:val="00DD4F15"/>
    <w:rsid w:val="00DD4FEB"/>
    <w:rsid w:val="00DD734D"/>
    <w:rsid w:val="00DE1DF8"/>
    <w:rsid w:val="00DE3025"/>
    <w:rsid w:val="00DE4467"/>
    <w:rsid w:val="00DE472B"/>
    <w:rsid w:val="00DE569C"/>
    <w:rsid w:val="00DF1537"/>
    <w:rsid w:val="00DF2389"/>
    <w:rsid w:val="00DF463A"/>
    <w:rsid w:val="00DF46A4"/>
    <w:rsid w:val="00E03541"/>
    <w:rsid w:val="00E1189B"/>
    <w:rsid w:val="00E12593"/>
    <w:rsid w:val="00E1283A"/>
    <w:rsid w:val="00E1589E"/>
    <w:rsid w:val="00E27E57"/>
    <w:rsid w:val="00E40BE1"/>
    <w:rsid w:val="00E426ED"/>
    <w:rsid w:val="00E46AF8"/>
    <w:rsid w:val="00E4718C"/>
    <w:rsid w:val="00E5200E"/>
    <w:rsid w:val="00E6255E"/>
    <w:rsid w:val="00E71571"/>
    <w:rsid w:val="00E7711A"/>
    <w:rsid w:val="00E7741C"/>
    <w:rsid w:val="00E809E0"/>
    <w:rsid w:val="00E814D1"/>
    <w:rsid w:val="00E846F8"/>
    <w:rsid w:val="00E86FFD"/>
    <w:rsid w:val="00E8713E"/>
    <w:rsid w:val="00E87C79"/>
    <w:rsid w:val="00E9261B"/>
    <w:rsid w:val="00E93B44"/>
    <w:rsid w:val="00E93C9D"/>
    <w:rsid w:val="00E94947"/>
    <w:rsid w:val="00E9494B"/>
    <w:rsid w:val="00E94CB2"/>
    <w:rsid w:val="00EA1565"/>
    <w:rsid w:val="00EA35E1"/>
    <w:rsid w:val="00EA4803"/>
    <w:rsid w:val="00EA5ABF"/>
    <w:rsid w:val="00EA682A"/>
    <w:rsid w:val="00EB0492"/>
    <w:rsid w:val="00EB7D9B"/>
    <w:rsid w:val="00EB7F73"/>
    <w:rsid w:val="00EC1C53"/>
    <w:rsid w:val="00EC21AA"/>
    <w:rsid w:val="00EC2A06"/>
    <w:rsid w:val="00EC4E1C"/>
    <w:rsid w:val="00EC68FA"/>
    <w:rsid w:val="00ED045C"/>
    <w:rsid w:val="00ED1D64"/>
    <w:rsid w:val="00ED48BC"/>
    <w:rsid w:val="00EE069A"/>
    <w:rsid w:val="00EE0A36"/>
    <w:rsid w:val="00EE24C9"/>
    <w:rsid w:val="00EE78E0"/>
    <w:rsid w:val="00EF153B"/>
    <w:rsid w:val="00EF2E9E"/>
    <w:rsid w:val="00EF3C3B"/>
    <w:rsid w:val="00EF541D"/>
    <w:rsid w:val="00F02DFC"/>
    <w:rsid w:val="00F03024"/>
    <w:rsid w:val="00F04B22"/>
    <w:rsid w:val="00F050AE"/>
    <w:rsid w:val="00F05AD2"/>
    <w:rsid w:val="00F264C3"/>
    <w:rsid w:val="00F265F7"/>
    <w:rsid w:val="00F268D5"/>
    <w:rsid w:val="00F30D94"/>
    <w:rsid w:val="00F35B9D"/>
    <w:rsid w:val="00F41B20"/>
    <w:rsid w:val="00F47422"/>
    <w:rsid w:val="00F50541"/>
    <w:rsid w:val="00F56BB2"/>
    <w:rsid w:val="00F60801"/>
    <w:rsid w:val="00F612B4"/>
    <w:rsid w:val="00F61C4A"/>
    <w:rsid w:val="00F635DB"/>
    <w:rsid w:val="00F65121"/>
    <w:rsid w:val="00F6705B"/>
    <w:rsid w:val="00F71766"/>
    <w:rsid w:val="00F768DA"/>
    <w:rsid w:val="00F82918"/>
    <w:rsid w:val="00F903B8"/>
    <w:rsid w:val="00F93B1E"/>
    <w:rsid w:val="00F9571B"/>
    <w:rsid w:val="00FA5050"/>
    <w:rsid w:val="00FB01C2"/>
    <w:rsid w:val="00FB2029"/>
    <w:rsid w:val="00FB34A5"/>
    <w:rsid w:val="00FC309A"/>
    <w:rsid w:val="00FC357A"/>
    <w:rsid w:val="00FC7787"/>
    <w:rsid w:val="00FD2ADB"/>
    <w:rsid w:val="00FD5E04"/>
    <w:rsid w:val="00FD61A4"/>
    <w:rsid w:val="00FD6DCA"/>
    <w:rsid w:val="00FE12D3"/>
    <w:rsid w:val="00FE5088"/>
    <w:rsid w:val="00FF43F6"/>
    <w:rsid w:val="00FF733D"/>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
    <w:name w:val="Normal"/>
    <w:qFormat/>
    <w:rsid w:val="00F60801"/>
    <w:rPr>
      <w:sz w:val="24"/>
      <w:szCs w:val="24"/>
    </w:rPr>
  </w:style>
  <w:style w:type="paragraph" w:styleId="Heading1">
    <w:name w:val="heading 1"/>
    <w:basedOn w:val="Normal"/>
    <w:next w:val="Normal"/>
    <w:link w:val="Heading1Char"/>
    <w:uiPriority w:val="99"/>
    <w:qFormat/>
    <w:rsid w:val="0075313C"/>
    <w:pPr>
      <w:tabs>
        <w:tab w:val="left" w:pos="0"/>
      </w:tabs>
      <w:spacing w:before="120" w:after="360"/>
      <w:ind w:firstLine="709"/>
      <w:outlineLvl w:val="0"/>
    </w:pPr>
    <w:rPr>
      <w:b/>
      <w:bCs/>
    </w:rPr>
  </w:style>
  <w:style w:type="paragraph" w:styleId="Heading2">
    <w:name w:val="heading 2"/>
    <w:basedOn w:val="Normal"/>
    <w:next w:val="Normal"/>
    <w:link w:val="Heading2Char"/>
    <w:uiPriority w:val="99"/>
    <w:qFormat/>
    <w:rsid w:val="0075313C"/>
    <w:pPr>
      <w:tabs>
        <w:tab w:val="left" w:pos="720"/>
      </w:tabs>
      <w:spacing w:before="120" w:after="120"/>
      <w:ind w:firstLine="720"/>
      <w:jc w:val="both"/>
      <w:outlineLvl w:val="1"/>
    </w:pPr>
    <w:rPr>
      <w:b/>
      <w:bCs/>
    </w:rPr>
  </w:style>
  <w:style w:type="paragraph" w:styleId="Heading3">
    <w:name w:val="heading 3"/>
    <w:basedOn w:val="Normal"/>
    <w:next w:val="Normal"/>
    <w:link w:val="Heading3Char"/>
    <w:uiPriority w:val="99"/>
    <w:qFormat/>
    <w:rsid w:val="0075313C"/>
    <w:pPr>
      <w:numPr>
        <w:numId w:val="14"/>
      </w:numPr>
      <w:tabs>
        <w:tab w:val="left" w:pos="993"/>
      </w:tabs>
      <w:jc w:val="both"/>
      <w:outlineLvl w:val="2"/>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5313C"/>
    <w:rPr>
      <w:b/>
      <w:bCs/>
      <w:sz w:val="24"/>
      <w:szCs w:val="24"/>
    </w:rPr>
  </w:style>
  <w:style w:type="character" w:customStyle="1" w:styleId="Heading2Char">
    <w:name w:val="Heading 2 Char"/>
    <w:basedOn w:val="DefaultParagraphFont"/>
    <w:link w:val="Heading2"/>
    <w:uiPriority w:val="99"/>
    <w:rsid w:val="0075313C"/>
    <w:rPr>
      <w:b/>
      <w:bCs/>
      <w:sz w:val="24"/>
      <w:szCs w:val="24"/>
    </w:rPr>
  </w:style>
  <w:style w:type="character" w:customStyle="1" w:styleId="Heading3Char">
    <w:name w:val="Heading 3 Char"/>
    <w:basedOn w:val="DefaultParagraphFont"/>
    <w:link w:val="Heading3"/>
    <w:uiPriority w:val="99"/>
    <w:rsid w:val="0075313C"/>
    <w:rPr>
      <w:b/>
      <w:bCs/>
      <w:sz w:val="24"/>
      <w:szCs w:val="24"/>
    </w:rPr>
  </w:style>
  <w:style w:type="paragraph" w:styleId="Footer">
    <w:name w:val="footer"/>
    <w:basedOn w:val="Normal"/>
    <w:link w:val="FooterChar"/>
    <w:uiPriority w:val="99"/>
    <w:rsid w:val="00EF3C3B"/>
    <w:pPr>
      <w:tabs>
        <w:tab w:val="center" w:pos="4536"/>
        <w:tab w:val="right" w:pos="9072"/>
      </w:tabs>
    </w:pPr>
  </w:style>
  <w:style w:type="character" w:customStyle="1" w:styleId="FooterChar">
    <w:name w:val="Footer Char"/>
    <w:basedOn w:val="DefaultParagraphFont"/>
    <w:link w:val="Footer"/>
    <w:uiPriority w:val="99"/>
    <w:semiHidden/>
    <w:rsid w:val="004E011F"/>
    <w:rPr>
      <w:sz w:val="24"/>
      <w:szCs w:val="24"/>
    </w:rPr>
  </w:style>
  <w:style w:type="character" w:styleId="PageNumber">
    <w:name w:val="page number"/>
    <w:basedOn w:val="DefaultParagraphFont"/>
    <w:uiPriority w:val="99"/>
    <w:rsid w:val="00EF3C3B"/>
  </w:style>
  <w:style w:type="paragraph" w:styleId="Header">
    <w:name w:val="header"/>
    <w:basedOn w:val="Normal"/>
    <w:link w:val="HeaderChar"/>
    <w:uiPriority w:val="99"/>
    <w:rsid w:val="003A32C6"/>
    <w:pPr>
      <w:tabs>
        <w:tab w:val="center" w:pos="4536"/>
        <w:tab w:val="right" w:pos="9072"/>
      </w:tabs>
    </w:pPr>
  </w:style>
  <w:style w:type="character" w:customStyle="1" w:styleId="HeaderChar">
    <w:name w:val="Header Char"/>
    <w:basedOn w:val="DefaultParagraphFont"/>
    <w:link w:val="Header"/>
    <w:uiPriority w:val="99"/>
    <w:semiHidden/>
    <w:rsid w:val="004E011F"/>
    <w:rPr>
      <w:sz w:val="24"/>
      <w:szCs w:val="24"/>
    </w:rPr>
  </w:style>
  <w:style w:type="table" w:styleId="TableGrid">
    <w:name w:val="Table Grid"/>
    <w:basedOn w:val="TableNormal"/>
    <w:uiPriority w:val="99"/>
    <w:rsid w:val="00E93B4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E93B44"/>
    <w:rPr>
      <w:sz w:val="20"/>
      <w:szCs w:val="20"/>
    </w:rPr>
  </w:style>
  <w:style w:type="character" w:customStyle="1" w:styleId="FootnoteTextChar">
    <w:name w:val="Footnote Text Char"/>
    <w:basedOn w:val="DefaultParagraphFont"/>
    <w:link w:val="FootnoteText"/>
    <w:uiPriority w:val="99"/>
    <w:rsid w:val="00BC7D7A"/>
  </w:style>
  <w:style w:type="character" w:styleId="FootnoteReference">
    <w:name w:val="footnote reference"/>
    <w:basedOn w:val="DefaultParagraphFont"/>
    <w:uiPriority w:val="99"/>
    <w:semiHidden/>
    <w:rsid w:val="00E93B44"/>
    <w:rPr>
      <w:vertAlign w:val="superscript"/>
    </w:rPr>
  </w:style>
  <w:style w:type="paragraph" w:styleId="BodyText2">
    <w:name w:val="Body Text 2"/>
    <w:basedOn w:val="Normal"/>
    <w:link w:val="BodyText2Char"/>
    <w:uiPriority w:val="99"/>
    <w:rsid w:val="006A76BB"/>
    <w:pPr>
      <w:spacing w:after="120" w:line="480" w:lineRule="auto"/>
    </w:pPr>
  </w:style>
  <w:style w:type="character" w:customStyle="1" w:styleId="BodyText2Char">
    <w:name w:val="Body Text 2 Char"/>
    <w:basedOn w:val="DefaultParagraphFont"/>
    <w:link w:val="BodyText2"/>
    <w:uiPriority w:val="99"/>
    <w:rsid w:val="006A76BB"/>
    <w:rPr>
      <w:sz w:val="24"/>
      <w:szCs w:val="24"/>
    </w:rPr>
  </w:style>
  <w:style w:type="paragraph" w:styleId="BalloonText">
    <w:name w:val="Balloon Text"/>
    <w:basedOn w:val="Normal"/>
    <w:link w:val="BalloonTextChar"/>
    <w:uiPriority w:val="99"/>
    <w:semiHidden/>
    <w:rsid w:val="00A61C50"/>
    <w:rPr>
      <w:rFonts w:ascii="Tahoma" w:hAnsi="Tahoma" w:cs="Tahoma"/>
      <w:sz w:val="16"/>
      <w:szCs w:val="16"/>
    </w:rPr>
  </w:style>
  <w:style w:type="character" w:customStyle="1" w:styleId="BalloonTextChar">
    <w:name w:val="Balloon Text Char"/>
    <w:basedOn w:val="DefaultParagraphFont"/>
    <w:link w:val="BalloonText"/>
    <w:uiPriority w:val="99"/>
    <w:semiHidden/>
    <w:rsid w:val="004E011F"/>
    <w:rPr>
      <w:sz w:val="0"/>
      <w:szCs w:val="0"/>
    </w:rPr>
  </w:style>
  <w:style w:type="paragraph" w:styleId="BodyText">
    <w:name w:val="Body Text"/>
    <w:basedOn w:val="Normal"/>
    <w:link w:val="BodyTextChar"/>
    <w:uiPriority w:val="99"/>
    <w:rsid w:val="00C77EFE"/>
    <w:pPr>
      <w:spacing w:after="120"/>
    </w:pPr>
  </w:style>
  <w:style w:type="character" w:customStyle="1" w:styleId="BodyTextChar">
    <w:name w:val="Body Text Char"/>
    <w:basedOn w:val="DefaultParagraphFont"/>
    <w:link w:val="BodyText"/>
    <w:uiPriority w:val="99"/>
    <w:rsid w:val="00C77EFE"/>
    <w:rPr>
      <w:sz w:val="24"/>
      <w:szCs w:val="24"/>
    </w:rPr>
  </w:style>
  <w:style w:type="character" w:styleId="HTMLTypewriter">
    <w:name w:val="HTML Typewriter"/>
    <w:basedOn w:val="DefaultParagraphFont"/>
    <w:uiPriority w:val="99"/>
    <w:rsid w:val="002165D7"/>
    <w:rPr>
      <w:rFonts w:ascii="Courier New" w:hAnsi="Courier New" w:cs="Courier New"/>
      <w:sz w:val="20"/>
      <w:szCs w:val="20"/>
    </w:rPr>
  </w:style>
  <w:style w:type="character" w:styleId="CommentReference">
    <w:name w:val="annotation reference"/>
    <w:basedOn w:val="DefaultParagraphFont"/>
    <w:uiPriority w:val="99"/>
    <w:semiHidden/>
    <w:rsid w:val="004E4155"/>
    <w:rPr>
      <w:sz w:val="16"/>
      <w:szCs w:val="16"/>
    </w:rPr>
  </w:style>
  <w:style w:type="paragraph" w:styleId="CommentText">
    <w:name w:val="annotation text"/>
    <w:basedOn w:val="Normal"/>
    <w:link w:val="CommentTextChar"/>
    <w:uiPriority w:val="99"/>
    <w:semiHidden/>
    <w:rsid w:val="004E4155"/>
    <w:rPr>
      <w:sz w:val="20"/>
      <w:szCs w:val="20"/>
    </w:rPr>
  </w:style>
  <w:style w:type="character" w:customStyle="1" w:styleId="CommentTextChar">
    <w:name w:val="Comment Text Char"/>
    <w:basedOn w:val="DefaultParagraphFont"/>
    <w:link w:val="CommentText"/>
    <w:uiPriority w:val="99"/>
    <w:rsid w:val="004E4155"/>
    <w:rPr>
      <w:lang w:val="bg-BG" w:eastAsia="bg-BG"/>
    </w:rPr>
  </w:style>
  <w:style w:type="paragraph" w:styleId="CommentSubject">
    <w:name w:val="annotation subject"/>
    <w:basedOn w:val="CommentText"/>
    <w:next w:val="CommentText"/>
    <w:link w:val="CommentSubjectChar"/>
    <w:uiPriority w:val="99"/>
    <w:semiHidden/>
    <w:rsid w:val="004E4155"/>
    <w:rPr>
      <w:b/>
      <w:bCs/>
    </w:rPr>
  </w:style>
  <w:style w:type="character" w:customStyle="1" w:styleId="CommentSubjectChar">
    <w:name w:val="Comment Subject Char"/>
    <w:basedOn w:val="CommentTextChar"/>
    <w:link w:val="CommentSubject"/>
    <w:uiPriority w:val="99"/>
    <w:rsid w:val="004E4155"/>
    <w:rPr>
      <w:b/>
      <w:bCs/>
    </w:rPr>
  </w:style>
  <w:style w:type="paragraph" w:customStyle="1" w:styleId="Default">
    <w:name w:val="Default"/>
    <w:uiPriority w:val="99"/>
    <w:rsid w:val="003F441A"/>
    <w:pPr>
      <w:autoSpaceDE w:val="0"/>
      <w:autoSpaceDN w:val="0"/>
      <w:adjustRightInd w:val="0"/>
    </w:pPr>
    <w:rPr>
      <w:color w:val="000000"/>
      <w:sz w:val="24"/>
      <w:szCs w:val="24"/>
      <w:lang w:val="en-US"/>
    </w:rPr>
  </w:style>
  <w:style w:type="paragraph" w:styleId="Revision">
    <w:name w:val="Revision"/>
    <w:hidden/>
    <w:uiPriority w:val="99"/>
    <w:semiHidden/>
    <w:rsid w:val="00535F4A"/>
    <w:rPr>
      <w:sz w:val="24"/>
      <w:szCs w:val="24"/>
    </w:rPr>
  </w:style>
  <w:style w:type="paragraph" w:customStyle="1" w:styleId="body">
    <w:name w:val="body"/>
    <w:basedOn w:val="Normal"/>
    <w:uiPriority w:val="99"/>
    <w:rsid w:val="00B1775C"/>
    <w:pPr>
      <w:overflowPunct w:val="0"/>
      <w:autoSpaceDE w:val="0"/>
      <w:autoSpaceDN w:val="0"/>
      <w:adjustRightInd w:val="0"/>
      <w:spacing w:after="120" w:line="240" w:lineRule="exact"/>
      <w:textAlignment w:val="baseline"/>
    </w:pPr>
    <w:rPr>
      <w:rFonts w:ascii="TimesNewRomanPS" w:hAnsi="TimesNewRomanPS" w:cs="TimesNewRomanPS"/>
      <w:color w:val="000000"/>
      <w:sz w:val="20"/>
      <w:szCs w:val="20"/>
      <w:lang w:val="en-GB" w:eastAsia="en-US"/>
    </w:rPr>
  </w:style>
  <w:style w:type="paragraph" w:styleId="ListParagraph">
    <w:name w:val="List Paragraph"/>
    <w:basedOn w:val="Normal"/>
    <w:uiPriority w:val="99"/>
    <w:qFormat/>
    <w:rsid w:val="00475022"/>
    <w:pPr>
      <w:ind w:left="708"/>
    </w:pPr>
  </w:style>
  <w:style w:type="paragraph" w:styleId="BodyTextIndent2">
    <w:name w:val="Body Text Indent 2"/>
    <w:basedOn w:val="Normal"/>
    <w:link w:val="BodyTextIndent2Char"/>
    <w:uiPriority w:val="99"/>
    <w:rsid w:val="006E1B60"/>
    <w:pPr>
      <w:spacing w:after="120" w:line="480" w:lineRule="auto"/>
      <w:ind w:left="283"/>
    </w:pPr>
  </w:style>
  <w:style w:type="character" w:customStyle="1" w:styleId="BodyTextIndent2Char">
    <w:name w:val="Body Text Indent 2 Char"/>
    <w:basedOn w:val="DefaultParagraphFont"/>
    <w:link w:val="BodyTextIndent2"/>
    <w:uiPriority w:val="99"/>
    <w:rsid w:val="006E1B60"/>
    <w:rPr>
      <w:sz w:val="24"/>
      <w:szCs w:val="24"/>
    </w:rPr>
  </w:style>
  <w:style w:type="paragraph" w:styleId="TOCHeading">
    <w:name w:val="TOC Heading"/>
    <w:basedOn w:val="Heading1"/>
    <w:next w:val="Normal"/>
    <w:uiPriority w:val="99"/>
    <w:qFormat/>
    <w:rsid w:val="0075313C"/>
    <w:pPr>
      <w:keepNext/>
      <w:keepLines/>
      <w:tabs>
        <w:tab w:val="clear" w:pos="0"/>
      </w:tabs>
      <w:spacing w:before="240" w:after="0" w:line="259" w:lineRule="auto"/>
      <w:ind w:firstLine="0"/>
      <w:outlineLvl w:val="9"/>
    </w:pPr>
    <w:rPr>
      <w:rFonts w:ascii="Calibri Light" w:hAnsi="Calibri Light" w:cs="Calibri Light"/>
      <w:b w:val="0"/>
      <w:bCs w:val="0"/>
      <w:color w:val="2E74B5"/>
      <w:sz w:val="32"/>
      <w:szCs w:val="32"/>
      <w:lang w:val="en-US" w:eastAsia="en-US"/>
    </w:rPr>
  </w:style>
  <w:style w:type="paragraph" w:styleId="TOC1">
    <w:name w:val="toc 1"/>
    <w:basedOn w:val="Normal"/>
    <w:next w:val="Normal"/>
    <w:autoRedefine/>
    <w:uiPriority w:val="99"/>
    <w:semiHidden/>
    <w:rsid w:val="0075313C"/>
  </w:style>
  <w:style w:type="paragraph" w:styleId="TOC2">
    <w:name w:val="toc 2"/>
    <w:basedOn w:val="Normal"/>
    <w:next w:val="Normal"/>
    <w:autoRedefine/>
    <w:uiPriority w:val="99"/>
    <w:semiHidden/>
    <w:rsid w:val="00B467FA"/>
    <w:pPr>
      <w:tabs>
        <w:tab w:val="right" w:leader="dot" w:pos="9344"/>
      </w:tabs>
      <w:ind w:left="426"/>
    </w:pPr>
  </w:style>
  <w:style w:type="paragraph" w:styleId="TOC3">
    <w:name w:val="toc 3"/>
    <w:basedOn w:val="Normal"/>
    <w:next w:val="Normal"/>
    <w:autoRedefine/>
    <w:uiPriority w:val="99"/>
    <w:semiHidden/>
    <w:rsid w:val="00351575"/>
    <w:pPr>
      <w:ind w:left="851"/>
    </w:pPr>
  </w:style>
  <w:style w:type="character" w:styleId="Hyperlink">
    <w:name w:val="Hyperlink"/>
    <w:basedOn w:val="DefaultParagraphFont"/>
    <w:uiPriority w:val="99"/>
    <w:rsid w:val="0075313C"/>
    <w:rPr>
      <w:color w:val="0563C1"/>
      <w:u w:val="single"/>
    </w:rPr>
  </w:style>
  <w:style w:type="paragraph" w:customStyle="1" w:styleId="NumberedParagraphCharChar">
    <w:name w:val="Numbered Paragraph Char Char"/>
    <w:basedOn w:val="Normal"/>
    <w:uiPriority w:val="99"/>
    <w:rsid w:val="00EE069A"/>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lang w:val="en-US" w:eastAsia="en-US"/>
    </w:rPr>
  </w:style>
  <w:style w:type="paragraph" w:customStyle="1" w:styleId="level2">
    <w:name w:val="level 2"/>
    <w:basedOn w:val="Normal"/>
    <w:uiPriority w:val="99"/>
    <w:rsid w:val="00EE069A"/>
    <w:pPr>
      <w:tabs>
        <w:tab w:val="right" w:pos="360"/>
        <w:tab w:val="left" w:pos="576"/>
      </w:tabs>
      <w:spacing w:after="120" w:line="220" w:lineRule="exact"/>
      <w:ind w:left="1008" w:hanging="432"/>
      <w:jc w:val="both"/>
    </w:pPr>
    <w:rPr>
      <w:kern w:val="8"/>
      <w:sz w:val="20"/>
      <w:szCs w:val="20"/>
      <w:lang w:val="en-US" w:eastAsia="en-US"/>
    </w:rPr>
  </w:style>
  <w:style w:type="character" w:customStyle="1" w:styleId="FontStyle15">
    <w:name w:val="Font Style15"/>
    <w:uiPriority w:val="99"/>
    <w:rsid w:val="00680D4B"/>
    <w:rPr>
      <w:rFonts w:ascii="Tahoma" w:hAnsi="Tahoma" w:cs="Tahoma"/>
      <w:sz w:val="16"/>
      <w:szCs w:val="16"/>
    </w:rPr>
  </w:style>
  <w:style w:type="paragraph" w:customStyle="1" w:styleId="Char2">
    <w:name w:val="Char2"/>
    <w:basedOn w:val="Normal"/>
    <w:uiPriority w:val="99"/>
    <w:rsid w:val="000B50CC"/>
    <w:pPr>
      <w:tabs>
        <w:tab w:val="left" w:pos="709"/>
      </w:tabs>
    </w:pPr>
    <w:rPr>
      <w:rFonts w:ascii="Tahoma" w:hAnsi="Tahoma" w:cs="Tahoma"/>
      <w:lang w:val="pl-PL" w:eastAsia="pl-PL"/>
    </w:rPr>
  </w:style>
  <w:style w:type="paragraph" w:customStyle="1" w:styleId="CharCharCharCharCharCharCharCharChar">
    <w:name w:val="Char Char Char Char Char Char Char Char Char"/>
    <w:basedOn w:val="Normal"/>
    <w:uiPriority w:val="99"/>
    <w:rsid w:val="00F265F7"/>
    <w:pPr>
      <w:tabs>
        <w:tab w:val="left" w:pos="709"/>
      </w:tabs>
    </w:pPr>
    <w:rPr>
      <w:rFonts w:ascii="Tahoma" w:hAnsi="Tahoma" w:cs="Tahoma"/>
      <w:lang w:val="pl-PL" w:eastAsia="pl-PL"/>
    </w:rPr>
  </w:style>
  <w:style w:type="paragraph" w:customStyle="1" w:styleId="CharCharCharCharCharCharCharCharChar1">
    <w:name w:val="Char Char Char Char Char Char Char Char Char1"/>
    <w:basedOn w:val="Normal"/>
    <w:uiPriority w:val="99"/>
    <w:rsid w:val="005D6E3D"/>
    <w:pPr>
      <w:tabs>
        <w:tab w:val="left" w:pos="709"/>
      </w:tabs>
    </w:pPr>
    <w:rPr>
      <w:rFonts w:ascii="Tahoma" w:hAnsi="Tahoma" w:cs="Tahoma"/>
      <w:lang w:val="pl-PL" w:eastAsia="pl-PL"/>
    </w:rPr>
  </w:style>
  <w:style w:type="paragraph" w:customStyle="1" w:styleId="CharChar1CharCharChar">
    <w:name w:val="Char Char1 Char Char Char Знак"/>
    <w:basedOn w:val="Normal"/>
    <w:uiPriority w:val="99"/>
    <w:rsid w:val="00B60332"/>
    <w:pPr>
      <w:tabs>
        <w:tab w:val="left" w:pos="709"/>
      </w:tabs>
    </w:pPr>
    <w:rPr>
      <w:rFonts w:ascii="Tahoma" w:hAnsi="Tahoma" w:cs="Tahoma"/>
      <w:lang w:val="pl-PL" w:eastAsia="pl-PL"/>
    </w:rPr>
  </w:style>
</w:styles>
</file>

<file path=word/webSettings.xml><?xml version="1.0" encoding="utf-8"?>
<w:webSettings xmlns:r="http://schemas.openxmlformats.org/officeDocument/2006/relationships" xmlns:w="http://schemas.openxmlformats.org/wordprocessingml/2006/main">
  <w:divs>
    <w:div w:id="902641986">
      <w:marLeft w:val="0"/>
      <w:marRight w:val="0"/>
      <w:marTop w:val="0"/>
      <w:marBottom w:val="0"/>
      <w:divBdr>
        <w:top w:val="none" w:sz="0" w:space="0" w:color="auto"/>
        <w:left w:val="none" w:sz="0" w:space="0" w:color="auto"/>
        <w:bottom w:val="none" w:sz="0" w:space="0" w:color="auto"/>
        <w:right w:val="none" w:sz="0" w:space="0" w:color="auto"/>
      </w:divBdr>
    </w:div>
    <w:div w:id="902641987">
      <w:marLeft w:val="0"/>
      <w:marRight w:val="0"/>
      <w:marTop w:val="0"/>
      <w:marBottom w:val="0"/>
      <w:divBdr>
        <w:top w:val="none" w:sz="0" w:space="0" w:color="auto"/>
        <w:left w:val="none" w:sz="0" w:space="0" w:color="auto"/>
        <w:bottom w:val="none" w:sz="0" w:space="0" w:color="auto"/>
        <w:right w:val="none" w:sz="0" w:space="0" w:color="auto"/>
      </w:divBdr>
    </w:div>
    <w:div w:id="902641988">
      <w:marLeft w:val="0"/>
      <w:marRight w:val="0"/>
      <w:marTop w:val="0"/>
      <w:marBottom w:val="0"/>
      <w:divBdr>
        <w:top w:val="none" w:sz="0" w:space="0" w:color="auto"/>
        <w:left w:val="none" w:sz="0" w:space="0" w:color="auto"/>
        <w:bottom w:val="none" w:sz="0" w:space="0" w:color="auto"/>
        <w:right w:val="none" w:sz="0" w:space="0" w:color="auto"/>
      </w:divBdr>
    </w:div>
    <w:div w:id="902641989">
      <w:marLeft w:val="0"/>
      <w:marRight w:val="0"/>
      <w:marTop w:val="0"/>
      <w:marBottom w:val="0"/>
      <w:divBdr>
        <w:top w:val="none" w:sz="0" w:space="0" w:color="auto"/>
        <w:left w:val="none" w:sz="0" w:space="0" w:color="auto"/>
        <w:bottom w:val="none" w:sz="0" w:space="0" w:color="auto"/>
        <w:right w:val="none" w:sz="0" w:space="0" w:color="auto"/>
      </w:divBdr>
    </w:div>
    <w:div w:id="902641990">
      <w:marLeft w:val="0"/>
      <w:marRight w:val="0"/>
      <w:marTop w:val="0"/>
      <w:marBottom w:val="0"/>
      <w:divBdr>
        <w:top w:val="none" w:sz="0" w:space="0" w:color="auto"/>
        <w:left w:val="none" w:sz="0" w:space="0" w:color="auto"/>
        <w:bottom w:val="none" w:sz="0" w:space="0" w:color="auto"/>
        <w:right w:val="none" w:sz="0" w:space="0" w:color="auto"/>
      </w:divBdr>
    </w:div>
    <w:div w:id="902641991">
      <w:marLeft w:val="0"/>
      <w:marRight w:val="0"/>
      <w:marTop w:val="0"/>
      <w:marBottom w:val="0"/>
      <w:divBdr>
        <w:top w:val="none" w:sz="0" w:space="0" w:color="auto"/>
        <w:left w:val="none" w:sz="0" w:space="0" w:color="auto"/>
        <w:bottom w:val="none" w:sz="0" w:space="0" w:color="auto"/>
        <w:right w:val="none" w:sz="0" w:space="0" w:color="auto"/>
      </w:divBdr>
    </w:div>
    <w:div w:id="902641992">
      <w:marLeft w:val="0"/>
      <w:marRight w:val="0"/>
      <w:marTop w:val="0"/>
      <w:marBottom w:val="0"/>
      <w:divBdr>
        <w:top w:val="none" w:sz="0" w:space="0" w:color="auto"/>
        <w:left w:val="none" w:sz="0" w:space="0" w:color="auto"/>
        <w:bottom w:val="none" w:sz="0" w:space="0" w:color="auto"/>
        <w:right w:val="none" w:sz="0" w:space="0" w:color="auto"/>
      </w:divBdr>
    </w:div>
    <w:div w:id="902641993">
      <w:marLeft w:val="0"/>
      <w:marRight w:val="0"/>
      <w:marTop w:val="0"/>
      <w:marBottom w:val="0"/>
      <w:divBdr>
        <w:top w:val="none" w:sz="0" w:space="0" w:color="auto"/>
        <w:left w:val="none" w:sz="0" w:space="0" w:color="auto"/>
        <w:bottom w:val="none" w:sz="0" w:space="0" w:color="auto"/>
        <w:right w:val="none" w:sz="0" w:space="0" w:color="auto"/>
      </w:divBdr>
    </w:div>
    <w:div w:id="902641994">
      <w:marLeft w:val="0"/>
      <w:marRight w:val="0"/>
      <w:marTop w:val="0"/>
      <w:marBottom w:val="0"/>
      <w:divBdr>
        <w:top w:val="none" w:sz="0" w:space="0" w:color="auto"/>
        <w:left w:val="none" w:sz="0" w:space="0" w:color="auto"/>
        <w:bottom w:val="none" w:sz="0" w:space="0" w:color="auto"/>
        <w:right w:val="none" w:sz="0" w:space="0" w:color="auto"/>
      </w:divBdr>
    </w:div>
    <w:div w:id="902641995">
      <w:marLeft w:val="0"/>
      <w:marRight w:val="0"/>
      <w:marTop w:val="0"/>
      <w:marBottom w:val="0"/>
      <w:divBdr>
        <w:top w:val="none" w:sz="0" w:space="0" w:color="auto"/>
        <w:left w:val="none" w:sz="0" w:space="0" w:color="auto"/>
        <w:bottom w:val="none" w:sz="0" w:space="0" w:color="auto"/>
        <w:right w:val="none" w:sz="0" w:space="0" w:color="auto"/>
      </w:divBdr>
    </w:div>
    <w:div w:id="902641996">
      <w:marLeft w:val="0"/>
      <w:marRight w:val="0"/>
      <w:marTop w:val="0"/>
      <w:marBottom w:val="0"/>
      <w:divBdr>
        <w:top w:val="none" w:sz="0" w:space="0" w:color="auto"/>
        <w:left w:val="none" w:sz="0" w:space="0" w:color="auto"/>
        <w:bottom w:val="none" w:sz="0" w:space="0" w:color="auto"/>
        <w:right w:val="none" w:sz="0" w:space="0" w:color="auto"/>
      </w:divBdr>
    </w:div>
    <w:div w:id="902641997">
      <w:marLeft w:val="0"/>
      <w:marRight w:val="0"/>
      <w:marTop w:val="0"/>
      <w:marBottom w:val="0"/>
      <w:divBdr>
        <w:top w:val="none" w:sz="0" w:space="0" w:color="auto"/>
        <w:left w:val="none" w:sz="0" w:space="0" w:color="auto"/>
        <w:bottom w:val="none" w:sz="0" w:space="0" w:color="auto"/>
        <w:right w:val="none" w:sz="0" w:space="0" w:color="auto"/>
      </w:divBdr>
    </w:div>
    <w:div w:id="902641998">
      <w:marLeft w:val="0"/>
      <w:marRight w:val="0"/>
      <w:marTop w:val="0"/>
      <w:marBottom w:val="0"/>
      <w:divBdr>
        <w:top w:val="none" w:sz="0" w:space="0" w:color="auto"/>
        <w:left w:val="none" w:sz="0" w:space="0" w:color="auto"/>
        <w:bottom w:val="none" w:sz="0" w:space="0" w:color="auto"/>
        <w:right w:val="none" w:sz="0" w:space="0" w:color="auto"/>
      </w:divBdr>
    </w:div>
    <w:div w:id="902641999">
      <w:marLeft w:val="0"/>
      <w:marRight w:val="0"/>
      <w:marTop w:val="0"/>
      <w:marBottom w:val="0"/>
      <w:divBdr>
        <w:top w:val="none" w:sz="0" w:space="0" w:color="auto"/>
        <w:left w:val="none" w:sz="0" w:space="0" w:color="auto"/>
        <w:bottom w:val="none" w:sz="0" w:space="0" w:color="auto"/>
        <w:right w:val="none" w:sz="0" w:space="0" w:color="auto"/>
      </w:divBdr>
    </w:div>
    <w:div w:id="902642000">
      <w:marLeft w:val="0"/>
      <w:marRight w:val="0"/>
      <w:marTop w:val="0"/>
      <w:marBottom w:val="0"/>
      <w:divBdr>
        <w:top w:val="none" w:sz="0" w:space="0" w:color="auto"/>
        <w:left w:val="none" w:sz="0" w:space="0" w:color="auto"/>
        <w:bottom w:val="none" w:sz="0" w:space="0" w:color="auto"/>
        <w:right w:val="none" w:sz="0" w:space="0" w:color="auto"/>
      </w:divBdr>
    </w:div>
    <w:div w:id="9026420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11</Pages>
  <Words>2530</Words>
  <Characters>14427</Characters>
  <Application>Microsoft Office Outlook</Application>
  <DocSecurity>0</DocSecurity>
  <Lines>0</Lines>
  <Paragraphs>0</Paragraphs>
  <ScaleCrop>false</ScaleCrop>
  <Company>BULNAO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DELL</dc:creator>
  <cp:keywords/>
  <dc:description/>
  <cp:lastModifiedBy>DELL</cp:lastModifiedBy>
  <cp:revision>2</cp:revision>
  <cp:lastPrinted>2014-04-15T12:10:00Z</cp:lastPrinted>
  <dcterms:created xsi:type="dcterms:W3CDTF">2015-01-23T09:29:00Z</dcterms:created>
  <dcterms:modified xsi:type="dcterms:W3CDTF">2015-01-23T09:29:00Z</dcterms:modified>
</cp:coreProperties>
</file>