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83" w:rsidRPr="00E6301B" w:rsidRDefault="00E6301B" w:rsidP="00E6301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</w:pPr>
      <w:r w:rsidRPr="00E630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  <w:t>„</w:t>
      </w:r>
      <w:r w:rsidR="008D3D83" w:rsidRPr="00E630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  <w:t>ПЛАН 2030</w:t>
      </w:r>
      <w:r w:rsidRPr="00E630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  <w:t>“</w:t>
      </w:r>
    </w:p>
    <w:p w:rsidR="008D3D83" w:rsidRPr="00D275E8" w:rsidRDefault="008D3D83" w:rsidP="005944C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</w:pPr>
    </w:p>
    <w:p w:rsidR="00871B05" w:rsidRPr="00F712FF" w:rsidRDefault="00871B05" w:rsidP="00F712FF">
      <w:pPr>
        <w:shd w:val="clear" w:color="auto" w:fill="D9D9D9" w:themeFill="background1" w:themeFillShade="D9"/>
        <w:tabs>
          <w:tab w:val="left" w:pos="1323"/>
        </w:tabs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F712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І. Обща информация</w:t>
      </w:r>
    </w:p>
    <w:p w:rsidR="00871B05" w:rsidRDefault="00871B05" w:rsidP="00871B05">
      <w:pPr>
        <w:shd w:val="clear" w:color="auto" w:fill="FFFFFF"/>
        <w:tabs>
          <w:tab w:val="left" w:pos="1323"/>
        </w:tabs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8D3D83" w:rsidRDefault="005944C2" w:rsidP="00871B05">
      <w:pPr>
        <w:shd w:val="clear" w:color="auto" w:fill="FFFFFF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</w:pPr>
      <w:r w:rsidRPr="00D275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Организацията на обединените нации </w:t>
      </w:r>
      <w:r w:rsidR="00803CDC" w:rsidRPr="00D275E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bg-BG"/>
        </w:rPr>
        <w:t xml:space="preserve">на </w:t>
      </w:r>
      <w:r w:rsidR="00803CDC" w:rsidRPr="00D275E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bg-BG"/>
        </w:rPr>
        <w:t>Срещата за устойчиво развитие на ООН</w:t>
      </w:r>
      <w:r w:rsidR="00803CDC" w:rsidRPr="00D275E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bg-BG"/>
        </w:rPr>
        <w:t> в Ню Йорк</w:t>
      </w:r>
      <w:r w:rsidR="00803CDC" w:rsidRPr="00D275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</w:t>
      </w:r>
      <w:r w:rsidRPr="00D275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официално </w:t>
      </w:r>
      <w:r w:rsidR="00803CD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обяви </w:t>
      </w:r>
      <w:r w:rsidRPr="00D275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своя нов </w:t>
      </w:r>
      <w:hyperlink r:id="rId9" w:tgtFrame="_blank" w:history="1">
        <w:r w:rsidRPr="00D275E8">
          <w:rPr>
            <w:rFonts w:ascii="Times New Roman" w:eastAsia="Times New Roman" w:hAnsi="Times New Roman" w:cs="Times New Roman"/>
            <w:b/>
            <w:bCs/>
            <w:color w:val="0099FF"/>
            <w:sz w:val="24"/>
            <w:szCs w:val="24"/>
            <w:bdr w:val="none" w:sz="0" w:space="0" w:color="auto" w:frame="1"/>
            <w:lang w:eastAsia="bg-BG"/>
          </w:rPr>
          <w:t>„План 2030“</w:t>
        </w:r>
      </w:hyperlink>
      <w:r w:rsidR="00D275E8" w:rsidRPr="00D275E8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bdr w:val="none" w:sz="0" w:space="0" w:color="auto" w:frame="1"/>
          <w:lang w:eastAsia="bg-BG"/>
        </w:rPr>
        <w:t xml:space="preserve"> </w:t>
      </w:r>
      <w:r w:rsidR="00D275E8" w:rsidRPr="00D275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</w:t>
      </w:r>
      <w:r w:rsidRPr="00D275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 устойчиво развитие, определян вече и като „</w:t>
      </w:r>
      <w:r w:rsidRPr="00D275E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bg-BG"/>
        </w:rPr>
        <w:t>новият План 21 на стероиди</w:t>
      </w:r>
      <w:r w:rsidRPr="00D275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“. </w:t>
      </w:r>
    </w:p>
    <w:p w:rsidR="00065C0C" w:rsidRDefault="00065C0C" w:rsidP="005944C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Работата по изготвяне на документа, който замен</w:t>
      </w:r>
      <w:r w:rsidR="005C5CA3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поставените през 2000 г. ЦЕЛИ НА ХИЛЯДОЛЕТИЕТО, продължава около ТРИ години.</w:t>
      </w:r>
    </w:p>
    <w:p w:rsidR="00065C0C" w:rsidRPr="00065C0C" w:rsidRDefault="00065C0C" w:rsidP="005944C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  <w:t>Планът е приет в края на м. септември 2015 г. с консенсус на срещата на най-високо равнище в централата на световната организация с участието на над 150 държави и правителствени ръководители.</w:t>
      </w:r>
    </w:p>
    <w:p w:rsidR="006D48E6" w:rsidRDefault="006D48E6" w:rsidP="00803CD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 w:eastAsia="bg-BG"/>
        </w:rPr>
      </w:pPr>
    </w:p>
    <w:p w:rsidR="00112719" w:rsidRDefault="00803CDC" w:rsidP="00803CD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bg-BG"/>
        </w:rPr>
        <w:t>В него са заложени 17 цели</w:t>
      </w:r>
      <w:r w:rsidR="00B9759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bg-BG"/>
        </w:rPr>
        <w:t xml:space="preserve"> за устойчиво развитие:</w:t>
      </w:r>
    </w:p>
    <w:p w:rsidR="00B97590" w:rsidRDefault="00B97590" w:rsidP="00803CD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bg-BG"/>
        </w:rPr>
      </w:pPr>
    </w:p>
    <w:p w:rsidR="00B97590" w:rsidRDefault="00B97590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B9759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Новите цели предвиждат:</w:t>
      </w:r>
    </w:p>
    <w:p w:rsidR="00B97590" w:rsidRPr="00B97590" w:rsidRDefault="00B97590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B9759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 изкореняване на крайната бедност във всичките й форми;</w:t>
      </w:r>
    </w:p>
    <w:p w:rsidR="00B97590" w:rsidRPr="00B97590" w:rsidRDefault="00B97590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B9759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ликвидирането на глада и помощ за устойчиво развитие на селското стопанство;</w:t>
      </w:r>
    </w:p>
    <w:p w:rsidR="00B97590" w:rsidRDefault="00B97590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B9759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3.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поощряване на здравословния начин на живот и съдействието за благополучие на всички хора;</w:t>
      </w:r>
    </w:p>
    <w:p w:rsidR="006C7226" w:rsidRDefault="006C7226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4. осигуряване на всеобщо и качествено образование;</w:t>
      </w:r>
    </w:p>
    <w:p w:rsidR="00F30D61" w:rsidRDefault="00F30D61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F30D61" w:rsidRPr="00456644" w:rsidRDefault="00F30D61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45664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Страните поемат задължение да:</w:t>
      </w:r>
    </w:p>
    <w:p w:rsidR="00F30D61" w:rsidRDefault="00F30D61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5. постигнат равенство между половете;</w:t>
      </w:r>
    </w:p>
    <w:p w:rsidR="00F30D61" w:rsidRDefault="00F30D61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6. осигурят наличието и </w:t>
      </w:r>
      <w:r w:rsidR="00456644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рационалната употреба на водните ресурси;</w:t>
      </w:r>
    </w:p>
    <w:p w:rsidR="00456644" w:rsidRDefault="00456644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7. осигурят всеобщ достъп до екологично ч</w:t>
      </w:r>
      <w:r w:rsidR="003A0994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ста енергетика;</w:t>
      </w:r>
    </w:p>
    <w:p w:rsidR="00456644" w:rsidRDefault="00456644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456644" w:rsidRDefault="00456644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45664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Страните трябва да съдействат за:</w:t>
      </w:r>
    </w:p>
    <w:p w:rsidR="00456644" w:rsidRDefault="00456644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456644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8.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устойчив икономически растеж и създаване на работни места;</w:t>
      </w:r>
    </w:p>
    <w:p w:rsidR="0027150B" w:rsidRDefault="0027150B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9. да създадат инфраструктура за индуст</w:t>
      </w:r>
      <w:r w:rsidR="00D3441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риализация;</w:t>
      </w:r>
    </w:p>
    <w:p w:rsidR="00D34418" w:rsidRDefault="003A0994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10. да намалят социално-</w:t>
      </w:r>
      <w:r w:rsidR="00D3441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икономическото неравенство в страните и между страните;</w:t>
      </w:r>
    </w:p>
    <w:p w:rsidR="00D34418" w:rsidRDefault="00D34418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11. да осигурят безопасни условия на живот в градовете и населените места.</w:t>
      </w:r>
    </w:p>
    <w:p w:rsidR="00456644" w:rsidRPr="00456644" w:rsidRDefault="00456644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456644" w:rsidRDefault="00D34418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Освен това страните членки на ООН имат намерение:</w:t>
      </w:r>
    </w:p>
    <w:p w:rsidR="00D34418" w:rsidRDefault="00D34418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D3441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12. </w:t>
      </w:r>
      <w:r w:rsidR="00CA764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да въведат устойчиви модели на потребление и производство;</w:t>
      </w:r>
    </w:p>
    <w:p w:rsidR="00CA7648" w:rsidRDefault="00CA7648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13. да предприемат спешни мерки за борба с промените в климата и техните последствия;</w:t>
      </w:r>
    </w:p>
    <w:p w:rsidR="00CA7648" w:rsidRDefault="00CA7648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14. да използват рационално морските ресурси;</w:t>
      </w:r>
    </w:p>
    <w:p w:rsidR="003F2473" w:rsidRDefault="003F2473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15. </w:t>
      </w:r>
      <w:r w:rsidR="00BB41A2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да се стремят към съхраняване и възстановяване на екосистемите на сушата;</w:t>
      </w:r>
    </w:p>
    <w:p w:rsidR="00F13E0D" w:rsidRPr="00D415B6" w:rsidRDefault="00BB41A2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5B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16.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</w:t>
      </w:r>
      <w:r w:rsidRPr="00D415B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 xml:space="preserve">да осигурят </w:t>
      </w:r>
      <w:r w:rsidRPr="00D415B6">
        <w:rPr>
          <w:rFonts w:ascii="Times New Roman" w:hAnsi="Times New Roman" w:cs="Times New Roman"/>
          <w:i/>
          <w:sz w:val="24"/>
          <w:szCs w:val="24"/>
        </w:rPr>
        <w:t xml:space="preserve">изграждане на мирно и отворено общество в интерес на устойчивото развитие, осигуряване </w:t>
      </w:r>
      <w:r w:rsidR="00AB64B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D415B6">
        <w:rPr>
          <w:rFonts w:ascii="Times New Roman" w:hAnsi="Times New Roman" w:cs="Times New Roman"/>
          <w:i/>
          <w:sz w:val="24"/>
          <w:szCs w:val="24"/>
        </w:rPr>
        <w:t>достъп до правосъдие за всички и създаване на ефективни, отчитащи се и основани на широко участие институции на всички нив</w:t>
      </w:r>
      <w:r w:rsidR="00F13E0D" w:rsidRPr="00D415B6">
        <w:rPr>
          <w:rFonts w:ascii="Times New Roman" w:hAnsi="Times New Roman" w:cs="Times New Roman"/>
          <w:i/>
          <w:sz w:val="24"/>
          <w:szCs w:val="24"/>
        </w:rPr>
        <w:t>а;</w:t>
      </w:r>
    </w:p>
    <w:p w:rsidR="000F48BC" w:rsidRDefault="000F48BC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457095">
        <w:rPr>
          <w:rFonts w:ascii="Times New Roman" w:hAnsi="Times New Roman" w:cs="Times New Roman"/>
          <w:sz w:val="24"/>
          <w:szCs w:val="24"/>
        </w:rPr>
        <w:t>да активизират глобалното партньорство в интерес на устойчивото развитие.</w:t>
      </w:r>
    </w:p>
    <w:p w:rsidR="00D415B6" w:rsidRPr="00D415B6" w:rsidRDefault="00D415B6" w:rsidP="005C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7095" w:rsidRDefault="00457095" w:rsidP="000F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095" w:rsidRDefault="00457095" w:rsidP="000F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Реализацията на целите за устойчиво развитие ще изисква до </w:t>
      </w:r>
      <w:r w:rsidRPr="005C5CA3">
        <w:rPr>
          <w:rFonts w:ascii="Times New Roman" w:hAnsi="Times New Roman" w:cs="Times New Roman"/>
          <w:b/>
          <w:sz w:val="24"/>
          <w:szCs w:val="24"/>
        </w:rPr>
        <w:t>4,5 трилиона долара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CA3">
        <w:rPr>
          <w:rFonts w:ascii="Times New Roman" w:hAnsi="Times New Roman" w:cs="Times New Roman"/>
          <w:b/>
          <w:sz w:val="24"/>
          <w:szCs w:val="24"/>
        </w:rPr>
        <w:t>годишно.</w:t>
      </w:r>
      <w:r>
        <w:rPr>
          <w:rFonts w:ascii="Times New Roman" w:hAnsi="Times New Roman" w:cs="Times New Roman"/>
          <w:sz w:val="24"/>
          <w:szCs w:val="24"/>
        </w:rPr>
        <w:t xml:space="preserve"> Напредъкът по изпълнението на плана ще се обсъжда </w:t>
      </w:r>
      <w:r w:rsidRPr="005C5CA3">
        <w:rPr>
          <w:rFonts w:ascii="Times New Roman" w:hAnsi="Times New Roman" w:cs="Times New Roman"/>
          <w:b/>
          <w:sz w:val="24"/>
          <w:szCs w:val="24"/>
        </w:rPr>
        <w:t>4 пъти годишно</w:t>
      </w:r>
      <w:r>
        <w:rPr>
          <w:rFonts w:ascii="Times New Roman" w:hAnsi="Times New Roman" w:cs="Times New Roman"/>
          <w:sz w:val="24"/>
          <w:szCs w:val="24"/>
        </w:rPr>
        <w:t xml:space="preserve"> на форум </w:t>
      </w:r>
      <w:r w:rsidR="005C5CA3">
        <w:rPr>
          <w:rFonts w:ascii="Times New Roman" w:hAnsi="Times New Roman" w:cs="Times New Roman"/>
          <w:sz w:val="24"/>
          <w:szCs w:val="24"/>
        </w:rPr>
        <w:t>на високо равнище под егидата на Общото събрание.</w:t>
      </w:r>
    </w:p>
    <w:p w:rsidR="000F48BC" w:rsidRDefault="000F48BC" w:rsidP="000F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FF" w:rsidRDefault="00F712FF" w:rsidP="000F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FF" w:rsidRDefault="00F712FF" w:rsidP="000F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4C2" w:rsidRPr="00F712FF" w:rsidRDefault="00F712FF" w:rsidP="00F712FF">
      <w:pPr>
        <w:shd w:val="clear" w:color="auto" w:fill="D9D9D9" w:themeFill="background1" w:themeFillShade="D9"/>
        <w:spacing w:after="150" w:line="270" w:lineRule="atLeast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ab/>
      </w:r>
      <w:r w:rsidRPr="00F712F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D9D9D9" w:themeFill="background1" w:themeFillShade="D9"/>
        </w:rPr>
        <w:t>ІІ. „План 2030“ и ВОИ</w:t>
      </w:r>
    </w:p>
    <w:p w:rsidR="003A3CF0" w:rsidRPr="00D275E8" w:rsidRDefault="003F511D" w:rsidP="005C5CA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bg-BG"/>
        </w:rPr>
      </w:pPr>
      <w:r w:rsidRPr="001A5FEF">
        <w:rPr>
          <w:rFonts w:ascii="Times New Roman" w:hAnsi="Times New Roman" w:cs="Times New Roman"/>
          <w:sz w:val="24"/>
          <w:szCs w:val="24"/>
        </w:rPr>
        <w:t>С п</w:t>
      </w:r>
      <w:r>
        <w:rPr>
          <w:rFonts w:ascii="Times New Roman" w:hAnsi="Times New Roman" w:cs="Times New Roman"/>
          <w:sz w:val="24"/>
          <w:szCs w:val="24"/>
        </w:rPr>
        <w:t>риемането на „План 2030“, пред ВОИ от ИНТОСАЙ се очертава важна роля</w:t>
      </w:r>
      <w:r w:rsidR="00871B05">
        <w:rPr>
          <w:rFonts w:ascii="Times New Roman" w:hAnsi="Times New Roman" w:cs="Times New Roman"/>
          <w:sz w:val="24"/>
          <w:szCs w:val="24"/>
        </w:rPr>
        <w:t>.</w:t>
      </w:r>
      <w:r w:rsidR="00FD5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A4" w:rsidRDefault="004A21A4" w:rsidP="004A2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A4">
        <w:rPr>
          <w:rFonts w:ascii="Times New Roman" w:hAnsi="Times New Roman" w:cs="Times New Roman"/>
          <w:b/>
          <w:sz w:val="24"/>
          <w:szCs w:val="24"/>
        </w:rPr>
        <w:t>Генералния</w:t>
      </w:r>
      <w:r w:rsidR="00AB64BD">
        <w:rPr>
          <w:rFonts w:ascii="Times New Roman" w:hAnsi="Times New Roman" w:cs="Times New Roman"/>
          <w:b/>
          <w:sz w:val="24"/>
          <w:szCs w:val="24"/>
        </w:rPr>
        <w:t>т</w:t>
      </w:r>
      <w:r w:rsidRPr="004A21A4">
        <w:rPr>
          <w:rFonts w:ascii="Times New Roman" w:hAnsi="Times New Roman" w:cs="Times New Roman"/>
          <w:b/>
          <w:sz w:val="24"/>
          <w:szCs w:val="24"/>
        </w:rPr>
        <w:t xml:space="preserve"> секретар на ИНТОСАЙ </w:t>
      </w:r>
      <w:r w:rsidRPr="004A21A4">
        <w:rPr>
          <w:rFonts w:ascii="Times New Roman" w:hAnsi="Times New Roman" w:cs="Times New Roman"/>
          <w:sz w:val="24"/>
          <w:szCs w:val="24"/>
        </w:rPr>
        <w:t xml:space="preserve">прави всичко възможно да закрепи </w:t>
      </w:r>
      <w:r w:rsidR="00BA1EA4">
        <w:rPr>
          <w:rFonts w:ascii="Times New Roman" w:hAnsi="Times New Roman" w:cs="Times New Roman"/>
          <w:sz w:val="24"/>
          <w:szCs w:val="24"/>
        </w:rPr>
        <w:t xml:space="preserve">в правна форма </w:t>
      </w:r>
      <w:r w:rsidRPr="004A21A4">
        <w:rPr>
          <w:rFonts w:ascii="Times New Roman" w:hAnsi="Times New Roman" w:cs="Times New Roman"/>
          <w:sz w:val="24"/>
          <w:szCs w:val="24"/>
        </w:rPr>
        <w:t>специфични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4A21A4">
        <w:rPr>
          <w:rFonts w:ascii="Times New Roman" w:hAnsi="Times New Roman" w:cs="Times New Roman"/>
          <w:sz w:val="24"/>
          <w:szCs w:val="24"/>
        </w:rPr>
        <w:t xml:space="preserve"> предпоставки </w:t>
      </w:r>
      <w:r w:rsidR="00BA1EA4">
        <w:rPr>
          <w:rFonts w:ascii="Times New Roman" w:hAnsi="Times New Roman" w:cs="Times New Roman"/>
          <w:sz w:val="24"/>
          <w:szCs w:val="24"/>
        </w:rPr>
        <w:t xml:space="preserve">за развитие на ВОИ - </w:t>
      </w:r>
      <w:r w:rsidRPr="004A21A4">
        <w:rPr>
          <w:rFonts w:ascii="Times New Roman" w:hAnsi="Times New Roman" w:cs="Times New Roman"/>
          <w:sz w:val="24"/>
          <w:szCs w:val="24"/>
        </w:rPr>
        <w:t xml:space="preserve">независимост на ВОИ, </w:t>
      </w:r>
      <w:r w:rsidRPr="00280C9B">
        <w:rPr>
          <w:rFonts w:ascii="Times New Roman" w:hAnsi="Times New Roman" w:cs="Times New Roman"/>
          <w:sz w:val="24"/>
          <w:szCs w:val="24"/>
        </w:rPr>
        <w:t>изграждане на капацитета на ВОИ и подобряване на системата за финансова отчетност в публичния сектор</w:t>
      </w:r>
      <w:r w:rsidR="00BA1EA4">
        <w:rPr>
          <w:rFonts w:ascii="Times New Roman" w:hAnsi="Times New Roman" w:cs="Times New Roman"/>
          <w:sz w:val="24"/>
          <w:szCs w:val="24"/>
        </w:rPr>
        <w:t>. Прие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A1EA4">
        <w:rPr>
          <w:rFonts w:ascii="Times New Roman" w:hAnsi="Times New Roman" w:cs="Times New Roman"/>
          <w:sz w:val="24"/>
          <w:szCs w:val="24"/>
        </w:rPr>
        <w:t>и 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47F">
        <w:rPr>
          <w:rFonts w:ascii="Times New Roman" w:hAnsi="Times New Roman" w:cs="Times New Roman"/>
          <w:b/>
          <w:sz w:val="24"/>
          <w:szCs w:val="24"/>
          <w:u w:val="single"/>
        </w:rPr>
        <w:t>резолюция 66/209 (2011)</w:t>
      </w:r>
      <w:r w:rsidR="00BA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23347F">
        <w:rPr>
          <w:rFonts w:ascii="Times New Roman" w:hAnsi="Times New Roman" w:cs="Times New Roman"/>
          <w:b/>
          <w:sz w:val="24"/>
          <w:szCs w:val="24"/>
          <w:u w:val="single"/>
        </w:rPr>
        <w:t>69/228 (2014)</w:t>
      </w:r>
      <w:r>
        <w:rPr>
          <w:rFonts w:ascii="Times New Roman" w:hAnsi="Times New Roman" w:cs="Times New Roman"/>
          <w:sz w:val="24"/>
          <w:szCs w:val="24"/>
        </w:rPr>
        <w:t xml:space="preserve"> на Общото събрание на ООН.</w:t>
      </w:r>
    </w:p>
    <w:p w:rsidR="001C76A3" w:rsidRDefault="001C76A3" w:rsidP="003F5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B23" w:rsidRDefault="003A3CF0" w:rsidP="00871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85B23" w:rsidRPr="009E24D9">
        <w:rPr>
          <w:rFonts w:ascii="Times New Roman" w:hAnsi="Times New Roman" w:cs="Times New Roman"/>
          <w:b/>
          <w:sz w:val="24"/>
          <w:szCs w:val="24"/>
          <w:u w:val="single"/>
        </w:rPr>
        <w:t>Цел 16 от План 2030 на ООН:</w:t>
      </w:r>
      <w:r w:rsidR="008E0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23" w:rsidRPr="00161267">
        <w:rPr>
          <w:rFonts w:ascii="Times New Roman" w:hAnsi="Times New Roman" w:cs="Times New Roman"/>
          <w:b/>
          <w:sz w:val="24"/>
          <w:szCs w:val="24"/>
        </w:rPr>
        <w:t xml:space="preserve">Съдействие за изграждане на мирно и отворено общество в интерес на устойчивото развитие, осигуряване </w:t>
      </w:r>
      <w:r w:rsidR="00AB64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85B23" w:rsidRPr="00161267">
        <w:rPr>
          <w:rFonts w:ascii="Times New Roman" w:hAnsi="Times New Roman" w:cs="Times New Roman"/>
          <w:b/>
          <w:sz w:val="24"/>
          <w:szCs w:val="24"/>
        </w:rPr>
        <w:t xml:space="preserve">достъп до правосъдие за всички и създаване на ефективни, отчитащи се и основани на широко участие институции на всички нива. </w:t>
      </w:r>
    </w:p>
    <w:p w:rsidR="00871B05" w:rsidRDefault="00871B05" w:rsidP="00871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5564" w:rsidRPr="00871B05" w:rsidRDefault="00145564" w:rsidP="008E05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B05">
        <w:rPr>
          <w:rFonts w:ascii="Times New Roman" w:hAnsi="Times New Roman" w:cs="Times New Roman"/>
          <w:sz w:val="24"/>
          <w:szCs w:val="24"/>
        </w:rPr>
        <w:t>От целева работна група на ООН е изготвен проект за обсъждане на „Рамка за индикатори и мониторинг на целите за устойчиво развитие“ от януари 2015 г.</w:t>
      </w:r>
    </w:p>
    <w:p w:rsidR="009E24D9" w:rsidRDefault="00185B23" w:rsidP="009E24D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1267">
        <w:rPr>
          <w:rFonts w:ascii="Times New Roman" w:hAnsi="Times New Roman" w:cs="Times New Roman"/>
          <w:b/>
          <w:sz w:val="24"/>
          <w:szCs w:val="24"/>
        </w:rPr>
        <w:t xml:space="preserve">Подцел 16.6 – Изграждане на ефективни и прозрачни институции на всички нива. </w:t>
      </w:r>
    </w:p>
    <w:p w:rsidR="00185B23" w:rsidRPr="00161267" w:rsidRDefault="00185B23" w:rsidP="009E24D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61267">
        <w:rPr>
          <w:rFonts w:ascii="Times New Roman" w:hAnsi="Times New Roman" w:cs="Times New Roman"/>
          <w:b/>
          <w:i/>
          <w:sz w:val="24"/>
          <w:szCs w:val="24"/>
        </w:rPr>
        <w:t>Индикаторите</w:t>
      </w:r>
      <w:r w:rsidR="009E24D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61267">
        <w:rPr>
          <w:rFonts w:ascii="Times New Roman" w:hAnsi="Times New Roman" w:cs="Times New Roman"/>
          <w:b/>
          <w:i/>
          <w:sz w:val="24"/>
          <w:szCs w:val="24"/>
        </w:rPr>
        <w:t xml:space="preserve"> които касаят цел 16 :</w:t>
      </w:r>
    </w:p>
    <w:p w:rsidR="00185B23" w:rsidRDefault="00185B23" w:rsidP="00161267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88 - Насилствени наранявания и смърт на 100 000 души население;</w:t>
      </w:r>
    </w:p>
    <w:p w:rsidR="00185B23" w:rsidRDefault="00185B23" w:rsidP="00161267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89 -  Бежанци и вътрешни миграции</w:t>
      </w:r>
      <w:r w:rsidR="00AB64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причинени от конфликти и насилие;</w:t>
      </w:r>
    </w:p>
    <w:p w:rsidR="00185B23" w:rsidRDefault="00185B23" w:rsidP="00161267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90 – Активи и пасиви на банките</w:t>
      </w:r>
      <w:r w:rsidR="00AB64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докладващи </w:t>
      </w:r>
      <w:r w:rsidR="007D5D70">
        <w:rPr>
          <w:rFonts w:ascii="Times New Roman" w:hAnsi="Times New Roman" w:cs="Times New Roman"/>
          <w:sz w:val="24"/>
          <w:szCs w:val="24"/>
        </w:rPr>
        <w:t>на Банката за международни разплащания относно международните данъци по страни</w:t>
      </w:r>
      <w:r w:rsidR="003A099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5D70" w:rsidRDefault="007D5D70" w:rsidP="00161267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91 – Оповестяване на всички плащания</w:t>
      </w:r>
      <w:r w:rsidR="00AB64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извършени от правит</w:t>
      </w:r>
      <w:r w:rsidR="00083859">
        <w:rPr>
          <w:rFonts w:ascii="Times New Roman" w:hAnsi="Times New Roman" w:cs="Times New Roman"/>
          <w:sz w:val="24"/>
          <w:szCs w:val="24"/>
        </w:rPr>
        <w:t>елствата по различни договори (</w:t>
      </w:r>
      <w:r>
        <w:rPr>
          <w:rFonts w:ascii="Times New Roman" w:hAnsi="Times New Roman" w:cs="Times New Roman"/>
          <w:sz w:val="24"/>
          <w:szCs w:val="24"/>
        </w:rPr>
        <w:t>да се доразвие)</w:t>
      </w:r>
      <w:r w:rsidR="003A099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5D70" w:rsidRDefault="007D5D70" w:rsidP="00161267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92 – Процент на децата под 5 г.</w:t>
      </w:r>
      <w:r w:rsidR="009E2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чието раждане е регистрирано от гражданските служби</w:t>
      </w:r>
      <w:r w:rsidR="003A099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5D70" w:rsidRDefault="007D5D70" w:rsidP="00161267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93 – Наличие и спазване на националните закони и/или конституционални гаранции за правото на информираност</w:t>
      </w:r>
      <w:r w:rsidR="003A099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5D70" w:rsidRDefault="007D5D70" w:rsidP="00161267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94 – Пр</w:t>
      </w:r>
      <w:r w:rsidR="003A0994">
        <w:rPr>
          <w:rFonts w:ascii="Times New Roman" w:hAnsi="Times New Roman" w:cs="Times New Roman"/>
          <w:sz w:val="24"/>
          <w:szCs w:val="24"/>
        </w:rPr>
        <w:t>оцент на корупцията в публичния</w:t>
      </w:r>
      <w:r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3A099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70" w:rsidRPr="006C053E" w:rsidRDefault="007D5D70" w:rsidP="00E20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053E">
        <w:rPr>
          <w:rFonts w:ascii="Times New Roman" w:hAnsi="Times New Roman" w:cs="Times New Roman"/>
          <w:b/>
          <w:i/>
          <w:sz w:val="24"/>
          <w:szCs w:val="24"/>
        </w:rPr>
        <w:t xml:space="preserve">Допълнителни национални индикатори, които страните могат да </w:t>
      </w:r>
      <w:r w:rsidR="006C053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6C053E">
        <w:rPr>
          <w:rFonts w:ascii="Times New Roman" w:hAnsi="Times New Roman" w:cs="Times New Roman"/>
          <w:b/>
          <w:i/>
          <w:sz w:val="24"/>
          <w:szCs w:val="24"/>
        </w:rPr>
        <w:t xml:space="preserve">азгледат: </w:t>
      </w:r>
    </w:p>
    <w:p w:rsidR="007D5D70" w:rsidRDefault="007D5D70" w:rsidP="00161267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жените и мъжете</w:t>
      </w:r>
      <w:r w:rsidR="003A099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които се чувстват сигурни когато вървят пеш през нощта в града или областта където живеят;</w:t>
      </w:r>
    </w:p>
    <w:p w:rsidR="007D5D70" w:rsidRDefault="007D5D70" w:rsidP="00161267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съответствие с </w:t>
      </w:r>
      <w:r w:rsidR="001612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репоръките</w:t>
      </w:r>
      <w:r w:rsidR="000838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267">
        <w:rPr>
          <w:rFonts w:ascii="Times New Roman" w:hAnsi="Times New Roman" w:cs="Times New Roman"/>
          <w:sz w:val="24"/>
          <w:szCs w:val="24"/>
        </w:rPr>
        <w:t>дадени от универсалните периодични прегледи или спогодбите на ООН;</w:t>
      </w:r>
    </w:p>
    <w:p w:rsidR="00161267" w:rsidRPr="00185B23" w:rsidRDefault="00161267" w:rsidP="00161267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Брой на децата, които не посещават училище в засегнатите от конфликти и бедствия страни; </w:t>
      </w:r>
    </w:p>
    <w:p w:rsidR="00161267" w:rsidRDefault="00161267" w:rsidP="00161267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Индикатор във връзка </w:t>
      </w:r>
      <w:r w:rsidR="003375D1">
        <w:rPr>
          <w:rFonts w:ascii="Times New Roman" w:hAnsi="Times New Roman" w:cs="Times New Roman"/>
          <w:sz w:val="24"/>
          <w:szCs w:val="24"/>
        </w:rPr>
        <w:t>с реформа на сектор сигурност (</w:t>
      </w:r>
      <w:r>
        <w:rPr>
          <w:rFonts w:ascii="Times New Roman" w:hAnsi="Times New Roman" w:cs="Times New Roman"/>
          <w:sz w:val="24"/>
          <w:szCs w:val="24"/>
        </w:rPr>
        <w:t>предстои доразвиване);</w:t>
      </w:r>
    </w:p>
    <w:p w:rsidR="00161267" w:rsidRDefault="00161267" w:rsidP="00161267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Честота на изплащане на заплатите на силите за сигурност;</w:t>
      </w:r>
    </w:p>
    <w:p w:rsidR="003375D1" w:rsidRDefault="00161267" w:rsidP="003375D1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267">
        <w:rPr>
          <w:rFonts w:ascii="Times New Roman" w:hAnsi="Times New Roman" w:cs="Times New Roman"/>
          <w:sz w:val="24"/>
          <w:szCs w:val="24"/>
        </w:rPr>
        <w:t xml:space="preserve">Съответствие с изискванията на </w:t>
      </w:r>
      <w:r w:rsidRPr="00161267">
        <w:rPr>
          <w:rFonts w:ascii="Times New Roman" w:hAnsi="Times New Roman" w:cs="Times New Roman"/>
          <w:sz w:val="24"/>
          <w:szCs w:val="24"/>
          <w:lang w:val="en-US"/>
        </w:rPr>
        <w:t>OECD</w:t>
      </w:r>
      <w:r w:rsidRPr="00161267">
        <w:rPr>
          <w:rFonts w:ascii="Times New Roman" w:hAnsi="Times New Roman" w:cs="Times New Roman"/>
          <w:sz w:val="24"/>
          <w:szCs w:val="24"/>
        </w:rPr>
        <w:t xml:space="preserve"> или друга приложима конвенция срещу подкупите ( предстои доразвиване);</w:t>
      </w:r>
    </w:p>
    <w:p w:rsidR="003375D1" w:rsidRDefault="00161267" w:rsidP="003375D1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5D1">
        <w:rPr>
          <w:rFonts w:ascii="Times New Roman" w:hAnsi="Times New Roman" w:cs="Times New Roman"/>
          <w:sz w:val="24"/>
          <w:szCs w:val="24"/>
        </w:rPr>
        <w:t xml:space="preserve">Относно незаконните финансови </w:t>
      </w:r>
      <w:r w:rsidR="003375D1" w:rsidRPr="003375D1">
        <w:rPr>
          <w:rFonts w:ascii="Times New Roman" w:hAnsi="Times New Roman" w:cs="Times New Roman"/>
          <w:sz w:val="24"/>
          <w:szCs w:val="24"/>
        </w:rPr>
        <w:t>потоци ( предстои доразвиване);</w:t>
      </w:r>
    </w:p>
    <w:p w:rsidR="003375D1" w:rsidRDefault="003375D1" w:rsidP="003375D1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5D1">
        <w:rPr>
          <w:rFonts w:ascii="Times New Roman" w:hAnsi="Times New Roman" w:cs="Times New Roman"/>
          <w:sz w:val="24"/>
          <w:szCs w:val="24"/>
        </w:rPr>
        <w:lastRenderedPageBreak/>
        <w:t>Индикатор за международното сътрудничество по предотвратяване на насилието и борбата с тероризма и престъплението ( предстои доразвиване);</w:t>
      </w:r>
    </w:p>
    <w:p w:rsidR="003375D1" w:rsidRDefault="002D79ED" w:rsidP="003375D1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получените от ООН спешни искания за помощ;</w:t>
      </w:r>
    </w:p>
    <w:p w:rsidR="002D79ED" w:rsidRPr="003375D1" w:rsidRDefault="002D79ED" w:rsidP="003375D1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Брой на журналистите и свързания медиен персонал</w:t>
      </w:r>
      <w:r w:rsidR="000838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 които е упражнено физическо насилие, които са нападнати или убити при изпълнение на служебните си задължения. </w:t>
      </w:r>
    </w:p>
    <w:p w:rsidR="00E20808" w:rsidRPr="00E20808" w:rsidRDefault="00E20808" w:rsidP="002D79ED">
      <w:pPr>
        <w:pStyle w:val="ListParagraph"/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A31" w:rsidRPr="00133A31" w:rsidRDefault="00133A31" w:rsidP="002D79ED">
      <w:pPr>
        <w:pStyle w:val="ListParagraph"/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A31">
        <w:rPr>
          <w:rFonts w:ascii="Times New Roman" w:hAnsi="Times New Roman" w:cs="Times New Roman"/>
          <w:b/>
          <w:i/>
          <w:sz w:val="24"/>
          <w:szCs w:val="24"/>
        </w:rPr>
        <w:t>По подцел 16.6 са предложени следните индикатори:</w:t>
      </w:r>
    </w:p>
    <w:p w:rsidR="00133A31" w:rsidRDefault="00133A31" w:rsidP="00133A31">
      <w:pPr>
        <w:pStyle w:val="ListParagraph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Първоначални разходи на правителството като процент от оригинално одобрения бюджет.</w:t>
      </w:r>
    </w:p>
    <w:p w:rsidR="00133A31" w:rsidRDefault="00133A31" w:rsidP="00133A31">
      <w:pPr>
        <w:pStyle w:val="ListParagraph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изпълнените препоръки за укрепване на националните антикорупционни рамки. </w:t>
      </w:r>
    </w:p>
    <w:p w:rsidR="00871B05" w:rsidRPr="00871B05" w:rsidRDefault="00871B05" w:rsidP="00871B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B05">
        <w:rPr>
          <w:rFonts w:ascii="Times New Roman" w:hAnsi="Times New Roman" w:cs="Times New Roman"/>
          <w:b/>
          <w:sz w:val="24"/>
          <w:szCs w:val="24"/>
        </w:rPr>
        <w:t>Австрийската ВОИ има предложение за добавяне на два нови индикатора:</w:t>
      </w:r>
    </w:p>
    <w:p w:rsidR="00871B05" w:rsidRPr="00E20808" w:rsidRDefault="00871B05" w:rsidP="0087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871B05" w:rsidRPr="0023347F" w:rsidRDefault="00871B05" w:rsidP="00871B05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47F">
        <w:rPr>
          <w:rFonts w:ascii="Times New Roman" w:hAnsi="Times New Roman" w:cs="Times New Roman"/>
          <w:b/>
          <w:i/>
          <w:sz w:val="24"/>
          <w:szCs w:val="24"/>
        </w:rPr>
        <w:t>Процент на ВОИ, които отговарят на осемте критерия за независимост от Декларацията от Мексико.</w:t>
      </w:r>
    </w:p>
    <w:p w:rsidR="00871B05" w:rsidRPr="00563AA7" w:rsidRDefault="00871B05" w:rsidP="00871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3AA7">
        <w:rPr>
          <w:rFonts w:ascii="Times New Roman" w:hAnsi="Times New Roman" w:cs="Times New Roman"/>
          <w:b/>
          <w:sz w:val="24"/>
          <w:szCs w:val="24"/>
        </w:rPr>
        <w:t>Осемте критерия са: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71B05" w:rsidRPr="0023347F" w:rsidTr="00871B05">
        <w:tc>
          <w:tcPr>
            <w:tcW w:w="9072" w:type="dxa"/>
          </w:tcPr>
          <w:p w:rsidR="00871B05" w:rsidRPr="0023347F" w:rsidRDefault="00871B05" w:rsidP="00871B0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Наличие на подходяща и ефективна конституционална /законова/ правна рамка и </w:t>
            </w:r>
            <w:r w:rsidRPr="002334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</w:t>
            </w: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4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facto</w:t>
            </w: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разпоредби за прилагане на тази рамка.</w:t>
            </w:r>
          </w:p>
        </w:tc>
      </w:tr>
      <w:tr w:rsidR="00871B05" w:rsidRPr="0023347F" w:rsidTr="00871B05">
        <w:tc>
          <w:tcPr>
            <w:tcW w:w="9072" w:type="dxa"/>
          </w:tcPr>
          <w:p w:rsidR="00871B05" w:rsidRPr="0023347F" w:rsidRDefault="00871B05" w:rsidP="00871B0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>2. Независимост на ръководителите на ВОИ и членовете (на институции с колегиална структура), включително гарантиране със закон на срока на мандата и имунитета при нормално изпълнение на техните задължения.</w:t>
            </w:r>
          </w:p>
        </w:tc>
      </w:tr>
      <w:tr w:rsidR="00871B05" w:rsidRPr="0023347F" w:rsidTr="00871B05">
        <w:tc>
          <w:tcPr>
            <w:tcW w:w="9072" w:type="dxa"/>
          </w:tcPr>
          <w:p w:rsidR="00871B05" w:rsidRPr="0023347F" w:rsidRDefault="00871B05" w:rsidP="00871B0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>3. Достатъчно широк мандат и пълна свобода на действие при изпълнение на функциите на ВОИ</w:t>
            </w:r>
          </w:p>
        </w:tc>
      </w:tr>
      <w:tr w:rsidR="00871B05" w:rsidRPr="0023347F" w:rsidTr="00871B05">
        <w:tc>
          <w:tcPr>
            <w:tcW w:w="9072" w:type="dxa"/>
          </w:tcPr>
          <w:p w:rsidR="00871B05" w:rsidRPr="0023347F" w:rsidRDefault="00871B05" w:rsidP="00871B0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Неограничен достъп до информация. </w:t>
            </w:r>
          </w:p>
        </w:tc>
      </w:tr>
      <w:tr w:rsidR="00871B05" w:rsidRPr="0023347F" w:rsidTr="00871B05">
        <w:tc>
          <w:tcPr>
            <w:tcW w:w="9072" w:type="dxa"/>
          </w:tcPr>
          <w:p w:rsidR="00871B05" w:rsidRPr="0023347F" w:rsidRDefault="00871B05" w:rsidP="00871B0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>5. Право и задължение да докладват за работата си.</w:t>
            </w:r>
          </w:p>
        </w:tc>
      </w:tr>
      <w:tr w:rsidR="00871B05" w:rsidRPr="0023347F" w:rsidTr="00871B05">
        <w:tc>
          <w:tcPr>
            <w:tcW w:w="9072" w:type="dxa"/>
          </w:tcPr>
          <w:p w:rsidR="00871B05" w:rsidRPr="0023347F" w:rsidRDefault="00871B05" w:rsidP="00871B0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>6. Свобода да вземат решение относно съдържанието и подходящия момент за одитните доклади, както и за тяхното публикуване и разпространение.</w:t>
            </w:r>
          </w:p>
        </w:tc>
      </w:tr>
      <w:tr w:rsidR="00871B05" w:rsidRPr="0023347F" w:rsidTr="00871B05">
        <w:tc>
          <w:tcPr>
            <w:tcW w:w="9072" w:type="dxa"/>
          </w:tcPr>
          <w:p w:rsidR="00871B05" w:rsidRPr="0023347F" w:rsidRDefault="00871B05" w:rsidP="00871B0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>7. Наличие на ефективен механизъм за проследяване на препоръките на ВОИ</w:t>
            </w:r>
          </w:p>
        </w:tc>
      </w:tr>
      <w:tr w:rsidR="00871B05" w:rsidRPr="0023347F" w:rsidTr="00871B05">
        <w:tc>
          <w:tcPr>
            <w:tcW w:w="9072" w:type="dxa"/>
          </w:tcPr>
          <w:p w:rsidR="00871B05" w:rsidRPr="0023347F" w:rsidRDefault="00871B05" w:rsidP="00871B0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47F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 и управленска/административна самостоятелност и наличие на подходящи човешки, материални и финансови ресурси</w:t>
            </w:r>
          </w:p>
        </w:tc>
      </w:tr>
    </w:tbl>
    <w:p w:rsidR="00871B05" w:rsidRPr="00E20808" w:rsidRDefault="00871B05" w:rsidP="00871B0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71B05" w:rsidRPr="00E20808" w:rsidRDefault="00871B05" w:rsidP="00871B05">
      <w:pPr>
        <w:pStyle w:val="ListParagraph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47F">
        <w:rPr>
          <w:rFonts w:ascii="Times New Roman" w:hAnsi="Times New Roman" w:cs="Times New Roman"/>
          <w:b/>
          <w:i/>
          <w:sz w:val="24"/>
          <w:szCs w:val="24"/>
        </w:rPr>
        <w:t xml:space="preserve">Процент на правителствата, </w:t>
      </w:r>
      <w:r w:rsidRPr="0023347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3347F">
        <w:rPr>
          <w:rFonts w:ascii="Times New Roman" w:hAnsi="Times New Roman" w:cs="Times New Roman"/>
          <w:b/>
          <w:i/>
          <w:sz w:val="24"/>
          <w:szCs w:val="24"/>
        </w:rPr>
        <w:t>прилагащи подобрени счетоводни системи за публичния сектор</w:t>
      </w:r>
      <w:r w:rsidR="000838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33A31" w:rsidRDefault="00133A31" w:rsidP="002D79ED">
      <w:pPr>
        <w:pStyle w:val="ListParagraph"/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28AB" w:rsidRPr="00F712FF" w:rsidRDefault="00F712FF" w:rsidP="00F712FF">
      <w:pPr>
        <w:pStyle w:val="ListParagraph"/>
        <w:shd w:val="clear" w:color="auto" w:fill="D9D9D9" w:themeFill="background1" w:themeFillShade="D9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FF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="002D79ED" w:rsidRPr="00F712FF">
        <w:rPr>
          <w:rFonts w:ascii="Times New Roman" w:hAnsi="Times New Roman" w:cs="Times New Roman"/>
          <w:b/>
          <w:sz w:val="24"/>
          <w:szCs w:val="24"/>
        </w:rPr>
        <w:t>К</w:t>
      </w:r>
      <w:r w:rsidR="00133A31" w:rsidRPr="00F712FF">
        <w:rPr>
          <w:rFonts w:ascii="Times New Roman" w:hAnsi="Times New Roman" w:cs="Times New Roman"/>
          <w:b/>
          <w:sz w:val="24"/>
          <w:szCs w:val="24"/>
        </w:rPr>
        <w:t xml:space="preserve">оментари по </w:t>
      </w:r>
      <w:r w:rsidR="00741781" w:rsidRPr="00F712FF">
        <w:rPr>
          <w:rFonts w:ascii="Times New Roman" w:hAnsi="Times New Roman" w:cs="Times New Roman"/>
          <w:b/>
          <w:sz w:val="24"/>
          <w:szCs w:val="24"/>
        </w:rPr>
        <w:t xml:space="preserve">тези индикатори: </w:t>
      </w:r>
    </w:p>
    <w:p w:rsidR="00F712FF" w:rsidRDefault="00F712FF" w:rsidP="00741781">
      <w:pPr>
        <w:pStyle w:val="ListParagraph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9ED" w:rsidRDefault="00741781" w:rsidP="00741781">
      <w:pPr>
        <w:pStyle w:val="ListParagraph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8AB">
        <w:rPr>
          <w:rFonts w:ascii="Times New Roman" w:hAnsi="Times New Roman" w:cs="Times New Roman"/>
          <w:b/>
          <w:sz w:val="24"/>
          <w:szCs w:val="24"/>
        </w:rPr>
        <w:t>Институт</w:t>
      </w:r>
      <w:r w:rsidR="00A828AB" w:rsidRPr="00A828AB">
        <w:rPr>
          <w:rFonts w:ascii="Times New Roman" w:hAnsi="Times New Roman" w:cs="Times New Roman"/>
          <w:b/>
          <w:sz w:val="24"/>
          <w:szCs w:val="24"/>
        </w:rPr>
        <w:t>ът</w:t>
      </w:r>
      <w:r w:rsidRPr="00A828AB">
        <w:rPr>
          <w:rFonts w:ascii="Times New Roman" w:hAnsi="Times New Roman" w:cs="Times New Roman"/>
          <w:b/>
          <w:sz w:val="24"/>
          <w:szCs w:val="24"/>
        </w:rPr>
        <w:t xml:space="preserve"> V-Dem</w:t>
      </w:r>
      <w:r>
        <w:rPr>
          <w:rFonts w:ascii="Times New Roman" w:hAnsi="Times New Roman" w:cs="Times New Roman"/>
          <w:sz w:val="24"/>
          <w:szCs w:val="24"/>
        </w:rPr>
        <w:t xml:space="preserve"> иска подробно разяснение на  съдържанието на индикаторите и предлага следните допълнителни индикатори, свързани с двете измерения на отчетността – хоризонтално </w:t>
      </w:r>
      <w:r w:rsidR="00A828AB">
        <w:rPr>
          <w:rFonts w:ascii="Times New Roman" w:hAnsi="Times New Roman" w:cs="Times New Roman"/>
          <w:sz w:val="24"/>
          <w:szCs w:val="24"/>
        </w:rPr>
        <w:t>и вертикално.</w:t>
      </w:r>
    </w:p>
    <w:p w:rsidR="00A828AB" w:rsidRPr="008E0521" w:rsidRDefault="00A828AB" w:rsidP="00741781">
      <w:pPr>
        <w:pStyle w:val="ListParagraph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0521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 хоризонталната отчетност: </w:t>
      </w:r>
    </w:p>
    <w:p w:rsidR="00A828AB" w:rsidRDefault="00A828AB" w:rsidP="00A828AB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Разследвания на законодателните органи;</w:t>
      </w:r>
    </w:p>
    <w:p w:rsidR="00A828AB" w:rsidRDefault="00A828AB" w:rsidP="00A828AB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Силна съдебна независимост</w:t>
      </w:r>
    </w:p>
    <w:p w:rsidR="00A828AB" w:rsidRPr="008E0521" w:rsidRDefault="00A828AB" w:rsidP="008E0521">
      <w:pPr>
        <w:pStyle w:val="ListParagraph"/>
        <w:tabs>
          <w:tab w:val="left" w:pos="709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0521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 вертикалната отчетност: </w:t>
      </w:r>
    </w:p>
    <w:p w:rsidR="00A828AB" w:rsidRDefault="00A828AB" w:rsidP="008E0521">
      <w:pPr>
        <w:pStyle w:val="ListParagraph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Свободни и справедливи избори;</w:t>
      </w:r>
    </w:p>
    <w:p w:rsidR="00A828AB" w:rsidRDefault="00A828AB" w:rsidP="008E0521">
      <w:pPr>
        <w:pStyle w:val="ListParagraph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Намеса на правителството в медиите;</w:t>
      </w:r>
    </w:p>
    <w:p w:rsidR="00A828AB" w:rsidRDefault="00A828AB" w:rsidP="008E0521">
      <w:pPr>
        <w:pStyle w:val="ListParagraph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Репресии спрямо неправителствените организации</w:t>
      </w:r>
      <w:r w:rsidR="00026CAC">
        <w:rPr>
          <w:rFonts w:ascii="Times New Roman" w:hAnsi="Times New Roman" w:cs="Times New Roman"/>
          <w:sz w:val="24"/>
          <w:szCs w:val="24"/>
        </w:rPr>
        <w:t>.</w:t>
      </w:r>
    </w:p>
    <w:p w:rsidR="006D48E6" w:rsidRDefault="006D48E6" w:rsidP="008E0521">
      <w:pPr>
        <w:pStyle w:val="ListParagraph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9ED" w:rsidRDefault="00A828AB" w:rsidP="008E0521">
      <w:pPr>
        <w:pStyle w:val="ListParagraph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21">
        <w:rPr>
          <w:rFonts w:ascii="Times New Roman" w:hAnsi="Times New Roman" w:cs="Times New Roman"/>
          <w:b/>
          <w:sz w:val="24"/>
          <w:szCs w:val="24"/>
        </w:rPr>
        <w:t>Институтът за развитие в Германия</w:t>
      </w:r>
      <w:r>
        <w:rPr>
          <w:rFonts w:ascii="Times New Roman" w:hAnsi="Times New Roman" w:cs="Times New Roman"/>
          <w:sz w:val="24"/>
          <w:szCs w:val="24"/>
        </w:rPr>
        <w:t xml:space="preserve"> счита, че подцел 16.6 е </w:t>
      </w:r>
      <w:r w:rsidRPr="006D48E6">
        <w:rPr>
          <w:rFonts w:ascii="Times New Roman" w:hAnsi="Times New Roman" w:cs="Times New Roman"/>
          <w:b/>
          <w:sz w:val="24"/>
          <w:szCs w:val="24"/>
        </w:rPr>
        <w:t>твърде мъгляво формулирана</w:t>
      </w:r>
      <w:r>
        <w:rPr>
          <w:rFonts w:ascii="Times New Roman" w:hAnsi="Times New Roman" w:cs="Times New Roman"/>
          <w:sz w:val="24"/>
          <w:szCs w:val="24"/>
        </w:rPr>
        <w:t>. За кои видове институции става въпрос? Какво означава на различни нива? Какъв е срокът</w:t>
      </w:r>
      <w:r w:rsidR="00026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 този индикатор да стане измерим?</w:t>
      </w:r>
      <w:r w:rsidR="008E0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21" w:rsidRDefault="008E0521" w:rsidP="008E0521">
      <w:pPr>
        <w:pStyle w:val="ListParagraph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Предложеният Индикатор 91 не измерва дали и как страните докладват за извършените плащания. Може би следва да се въведе нов индекс, които да предста</w:t>
      </w:r>
      <w:r w:rsidR="00026CAC">
        <w:rPr>
          <w:rFonts w:ascii="Times New Roman" w:hAnsi="Times New Roman" w:cs="Times New Roman"/>
          <w:sz w:val="24"/>
          <w:szCs w:val="24"/>
        </w:rPr>
        <w:t>ви начините за измерване, макар</w:t>
      </w:r>
      <w:r>
        <w:rPr>
          <w:rFonts w:ascii="Times New Roman" w:hAnsi="Times New Roman" w:cs="Times New Roman"/>
          <w:sz w:val="24"/>
          <w:szCs w:val="24"/>
        </w:rPr>
        <w:t xml:space="preserve"> че подобен индекс ще обхване само малка част от подцел 16.6 като в действителност ще изключ</w:t>
      </w:r>
      <w:r w:rsidR="00026CAC">
        <w:rPr>
          <w:rFonts w:ascii="Times New Roman" w:hAnsi="Times New Roman" w:cs="Times New Roman"/>
          <w:sz w:val="24"/>
          <w:szCs w:val="24"/>
        </w:rPr>
        <w:t>и ефективността и отчетността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двата основни въпроса на тази подцел). </w:t>
      </w:r>
    </w:p>
    <w:p w:rsidR="008E0521" w:rsidRPr="00161267" w:rsidRDefault="008E0521" w:rsidP="008E0521">
      <w:pPr>
        <w:pStyle w:val="ListParagraph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Препоръчано е цел 16 да бъде изработена по компактно за по-лесно оповестяване и ориентиране към действието. </w:t>
      </w:r>
    </w:p>
    <w:sectPr w:rsidR="008E0521" w:rsidRPr="00161267" w:rsidSect="00DF4826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EE" w:rsidRDefault="00F15FEE" w:rsidP="001378F2">
      <w:pPr>
        <w:spacing w:after="0" w:line="240" w:lineRule="auto"/>
      </w:pPr>
      <w:r>
        <w:separator/>
      </w:r>
    </w:p>
  </w:endnote>
  <w:endnote w:type="continuationSeparator" w:id="0">
    <w:p w:rsidR="00F15FEE" w:rsidRDefault="00F15FEE" w:rsidP="0013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813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EA4" w:rsidRDefault="00BA1E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C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1EA4" w:rsidRDefault="00BA1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EE" w:rsidRDefault="00F15FEE" w:rsidP="001378F2">
      <w:pPr>
        <w:spacing w:after="0" w:line="240" w:lineRule="auto"/>
      </w:pPr>
      <w:r>
        <w:separator/>
      </w:r>
    </w:p>
  </w:footnote>
  <w:footnote w:type="continuationSeparator" w:id="0">
    <w:p w:rsidR="00F15FEE" w:rsidRDefault="00F15FEE" w:rsidP="0013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562"/>
    <w:multiLevelType w:val="hybridMultilevel"/>
    <w:tmpl w:val="2686439C"/>
    <w:lvl w:ilvl="0" w:tplc="7C5C74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F42780"/>
    <w:multiLevelType w:val="hybridMultilevel"/>
    <w:tmpl w:val="4D4A972A"/>
    <w:lvl w:ilvl="0" w:tplc="0402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21A314AD"/>
    <w:multiLevelType w:val="hybridMultilevel"/>
    <w:tmpl w:val="384074D4"/>
    <w:lvl w:ilvl="0" w:tplc="FB9055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29236A8"/>
    <w:multiLevelType w:val="hybridMultilevel"/>
    <w:tmpl w:val="9FB44F4C"/>
    <w:lvl w:ilvl="0" w:tplc="47501D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A551DD"/>
    <w:multiLevelType w:val="hybridMultilevel"/>
    <w:tmpl w:val="BC0C86F0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3E8A04AF"/>
    <w:multiLevelType w:val="hybridMultilevel"/>
    <w:tmpl w:val="DF32175A"/>
    <w:lvl w:ilvl="0" w:tplc="0402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48B51700"/>
    <w:multiLevelType w:val="hybridMultilevel"/>
    <w:tmpl w:val="FF446E18"/>
    <w:lvl w:ilvl="0" w:tplc="0402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>
    <w:nsid w:val="4C1801BF"/>
    <w:multiLevelType w:val="hybridMultilevel"/>
    <w:tmpl w:val="384074D4"/>
    <w:lvl w:ilvl="0" w:tplc="FB9055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DEE37B1"/>
    <w:multiLevelType w:val="hybridMultilevel"/>
    <w:tmpl w:val="132AAC02"/>
    <w:lvl w:ilvl="0" w:tplc="73FE5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C80EDF"/>
    <w:multiLevelType w:val="hybridMultilevel"/>
    <w:tmpl w:val="9A4285F4"/>
    <w:lvl w:ilvl="0" w:tplc="86107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17471C"/>
    <w:multiLevelType w:val="hybridMultilevel"/>
    <w:tmpl w:val="384074D4"/>
    <w:lvl w:ilvl="0" w:tplc="FB9055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C0C557E"/>
    <w:multiLevelType w:val="hybridMultilevel"/>
    <w:tmpl w:val="09D482BE"/>
    <w:lvl w:ilvl="0" w:tplc="0402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3E"/>
    <w:rsid w:val="00026CAC"/>
    <w:rsid w:val="00065C0C"/>
    <w:rsid w:val="00083859"/>
    <w:rsid w:val="000F1B7C"/>
    <w:rsid w:val="000F1EA9"/>
    <w:rsid w:val="000F48BC"/>
    <w:rsid w:val="00112719"/>
    <w:rsid w:val="00133A31"/>
    <w:rsid w:val="00136743"/>
    <w:rsid w:val="001378F2"/>
    <w:rsid w:val="00145564"/>
    <w:rsid w:val="001515FB"/>
    <w:rsid w:val="00161267"/>
    <w:rsid w:val="001817B8"/>
    <w:rsid w:val="00185B23"/>
    <w:rsid w:val="0019202F"/>
    <w:rsid w:val="001A5FEF"/>
    <w:rsid w:val="001C02F7"/>
    <w:rsid w:val="001C76A3"/>
    <w:rsid w:val="0023347F"/>
    <w:rsid w:val="0027150B"/>
    <w:rsid w:val="00280C9B"/>
    <w:rsid w:val="002A1443"/>
    <w:rsid w:val="002C2395"/>
    <w:rsid w:val="002D79ED"/>
    <w:rsid w:val="003248D0"/>
    <w:rsid w:val="00332498"/>
    <w:rsid w:val="003375D1"/>
    <w:rsid w:val="00365036"/>
    <w:rsid w:val="003A0994"/>
    <w:rsid w:val="003A3CF0"/>
    <w:rsid w:val="003D0E8D"/>
    <w:rsid w:val="003D54FF"/>
    <w:rsid w:val="003F2473"/>
    <w:rsid w:val="003F511D"/>
    <w:rsid w:val="00414E44"/>
    <w:rsid w:val="00456644"/>
    <w:rsid w:val="00457095"/>
    <w:rsid w:val="004A21A4"/>
    <w:rsid w:val="004A7D8A"/>
    <w:rsid w:val="00563AA7"/>
    <w:rsid w:val="005944C2"/>
    <w:rsid w:val="005C5CA3"/>
    <w:rsid w:val="00617FAA"/>
    <w:rsid w:val="0064008B"/>
    <w:rsid w:val="00663821"/>
    <w:rsid w:val="00686E48"/>
    <w:rsid w:val="006A3A83"/>
    <w:rsid w:val="006C053E"/>
    <w:rsid w:val="006C7226"/>
    <w:rsid w:val="006D48E6"/>
    <w:rsid w:val="007032C6"/>
    <w:rsid w:val="00741781"/>
    <w:rsid w:val="007B4A96"/>
    <w:rsid w:val="007D5D70"/>
    <w:rsid w:val="007E36CE"/>
    <w:rsid w:val="00803CDC"/>
    <w:rsid w:val="00842355"/>
    <w:rsid w:val="00854BC3"/>
    <w:rsid w:val="00871B05"/>
    <w:rsid w:val="008768FE"/>
    <w:rsid w:val="008A6473"/>
    <w:rsid w:val="008D11BF"/>
    <w:rsid w:val="008D3D83"/>
    <w:rsid w:val="008E0521"/>
    <w:rsid w:val="008E2378"/>
    <w:rsid w:val="0092381A"/>
    <w:rsid w:val="009610F5"/>
    <w:rsid w:val="00994F8E"/>
    <w:rsid w:val="0099712C"/>
    <w:rsid w:val="009D3F6F"/>
    <w:rsid w:val="009E24D9"/>
    <w:rsid w:val="00A535A7"/>
    <w:rsid w:val="00A65E5B"/>
    <w:rsid w:val="00A828AB"/>
    <w:rsid w:val="00AB64BD"/>
    <w:rsid w:val="00AC4C6C"/>
    <w:rsid w:val="00AE4F3E"/>
    <w:rsid w:val="00AE6AC3"/>
    <w:rsid w:val="00B64311"/>
    <w:rsid w:val="00B97590"/>
    <w:rsid w:val="00BA1EA4"/>
    <w:rsid w:val="00BB41A2"/>
    <w:rsid w:val="00C667A7"/>
    <w:rsid w:val="00CA7648"/>
    <w:rsid w:val="00CF66C4"/>
    <w:rsid w:val="00D275E8"/>
    <w:rsid w:val="00D34418"/>
    <w:rsid w:val="00D415B6"/>
    <w:rsid w:val="00D4713C"/>
    <w:rsid w:val="00D70B70"/>
    <w:rsid w:val="00D86479"/>
    <w:rsid w:val="00DF4826"/>
    <w:rsid w:val="00E05155"/>
    <w:rsid w:val="00E20808"/>
    <w:rsid w:val="00E24F57"/>
    <w:rsid w:val="00E549C7"/>
    <w:rsid w:val="00E6301B"/>
    <w:rsid w:val="00E8796D"/>
    <w:rsid w:val="00E951D3"/>
    <w:rsid w:val="00EE49E3"/>
    <w:rsid w:val="00F0354E"/>
    <w:rsid w:val="00F13E0D"/>
    <w:rsid w:val="00F15FEE"/>
    <w:rsid w:val="00F30D61"/>
    <w:rsid w:val="00F4035D"/>
    <w:rsid w:val="00F712FF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5944C2"/>
    <w:rPr>
      <w:i/>
      <w:iCs/>
    </w:rPr>
  </w:style>
  <w:style w:type="character" w:customStyle="1" w:styleId="apple-converted-space">
    <w:name w:val="apple-converted-space"/>
    <w:basedOn w:val="DefaultParagraphFont"/>
    <w:rsid w:val="005944C2"/>
  </w:style>
  <w:style w:type="character" w:styleId="Strong">
    <w:name w:val="Strong"/>
    <w:basedOn w:val="DefaultParagraphFont"/>
    <w:uiPriority w:val="22"/>
    <w:qFormat/>
    <w:rsid w:val="005944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44C2"/>
    <w:rPr>
      <w:color w:val="0000FF"/>
      <w:u w:val="single"/>
    </w:rPr>
  </w:style>
  <w:style w:type="table" w:styleId="TableGrid">
    <w:name w:val="Table Grid"/>
    <w:basedOn w:val="TableNormal"/>
    <w:uiPriority w:val="59"/>
    <w:rsid w:val="003D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8F2"/>
  </w:style>
  <w:style w:type="paragraph" w:styleId="Footer">
    <w:name w:val="footer"/>
    <w:basedOn w:val="Normal"/>
    <w:link w:val="FooterChar"/>
    <w:uiPriority w:val="99"/>
    <w:unhideWhenUsed/>
    <w:rsid w:val="0013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5944C2"/>
    <w:rPr>
      <w:i/>
      <w:iCs/>
    </w:rPr>
  </w:style>
  <w:style w:type="character" w:customStyle="1" w:styleId="apple-converted-space">
    <w:name w:val="apple-converted-space"/>
    <w:basedOn w:val="DefaultParagraphFont"/>
    <w:rsid w:val="005944C2"/>
  </w:style>
  <w:style w:type="character" w:styleId="Strong">
    <w:name w:val="Strong"/>
    <w:basedOn w:val="DefaultParagraphFont"/>
    <w:uiPriority w:val="22"/>
    <w:qFormat/>
    <w:rsid w:val="005944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44C2"/>
    <w:rPr>
      <w:color w:val="0000FF"/>
      <w:u w:val="single"/>
    </w:rPr>
  </w:style>
  <w:style w:type="table" w:styleId="TableGrid">
    <w:name w:val="Table Grid"/>
    <w:basedOn w:val="TableNormal"/>
    <w:uiPriority w:val="59"/>
    <w:rsid w:val="003D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8F2"/>
  </w:style>
  <w:style w:type="paragraph" w:styleId="Footer">
    <w:name w:val="footer"/>
    <w:basedOn w:val="Normal"/>
    <w:link w:val="FooterChar"/>
    <w:uiPriority w:val="99"/>
    <w:unhideWhenUsed/>
    <w:rsid w:val="0013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ustainabledevelopment.un.org/post2015/transformingour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D4EF-37BA-4776-A125-3E3DBF5E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2015-11-20T13:42:00Z</cp:lastPrinted>
  <dcterms:created xsi:type="dcterms:W3CDTF">2015-12-02T08:24:00Z</dcterms:created>
  <dcterms:modified xsi:type="dcterms:W3CDTF">2015-12-02T08:24:00Z</dcterms:modified>
</cp:coreProperties>
</file>