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DDD" w:rsidRPr="00716193" w:rsidRDefault="00FB3DDD" w:rsidP="00FB3DDD">
      <w:pPr>
        <w:tabs>
          <w:tab w:val="left" w:pos="720"/>
        </w:tabs>
        <w:spacing w:before="360"/>
        <w:jc w:val="center"/>
        <w:rPr>
          <w:b/>
        </w:rPr>
      </w:pPr>
      <w:r w:rsidRPr="00716193">
        <w:rPr>
          <w:noProof/>
        </w:rPr>
        <w:drawing>
          <wp:inline distT="0" distB="0" distL="0" distR="0" wp14:anchorId="0C18B665" wp14:editId="2B19E542">
            <wp:extent cx="1802765" cy="1017905"/>
            <wp:effectExtent l="0" t="0" r="6985" b="0"/>
            <wp:docPr id="1" name="Picture 1" descr="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rop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2765" cy="1017905"/>
                    </a:xfrm>
                    <a:prstGeom prst="rect">
                      <a:avLst/>
                    </a:prstGeom>
                    <a:noFill/>
                    <a:ln>
                      <a:noFill/>
                    </a:ln>
                  </pic:spPr>
                </pic:pic>
              </a:graphicData>
            </a:graphic>
          </wp:inline>
        </w:drawing>
      </w:r>
    </w:p>
    <w:p w:rsidR="00FB3DDD" w:rsidRPr="00716193" w:rsidRDefault="00FB3DDD" w:rsidP="00FB3DDD">
      <w:pPr>
        <w:tabs>
          <w:tab w:val="left" w:pos="720"/>
        </w:tabs>
        <w:spacing w:before="1800" w:after="1800"/>
        <w:jc w:val="center"/>
        <w:rPr>
          <w:b/>
          <w:spacing w:val="60"/>
          <w:sz w:val="28"/>
          <w:szCs w:val="28"/>
        </w:rPr>
      </w:pPr>
      <w:r w:rsidRPr="00716193">
        <w:rPr>
          <w:b/>
          <w:spacing w:val="60"/>
          <w:sz w:val="28"/>
          <w:szCs w:val="28"/>
        </w:rPr>
        <w:t>ОДИТЕН ДОКЛАД</w:t>
      </w:r>
    </w:p>
    <w:p w:rsidR="00FB3DDD" w:rsidRPr="00716193" w:rsidRDefault="00FB3DDD" w:rsidP="00FB3DDD">
      <w:pPr>
        <w:tabs>
          <w:tab w:val="left" w:pos="720"/>
        </w:tabs>
        <w:jc w:val="center"/>
        <w:rPr>
          <w:b/>
        </w:rPr>
      </w:pPr>
      <w:r w:rsidRPr="00716193">
        <w:rPr>
          <w:b/>
        </w:rPr>
        <w:t>№</w:t>
      </w:r>
      <w:r w:rsidR="00CA7B09" w:rsidRPr="00716193">
        <w:rPr>
          <w:b/>
        </w:rPr>
        <w:t xml:space="preserve"> 0600200115</w:t>
      </w:r>
    </w:p>
    <w:p w:rsidR="00CA7B09" w:rsidRPr="00716193" w:rsidRDefault="00FB3DDD" w:rsidP="00CA7B09">
      <w:pPr>
        <w:tabs>
          <w:tab w:val="left" w:pos="720"/>
        </w:tabs>
        <w:jc w:val="center"/>
        <w:rPr>
          <w:b/>
        </w:rPr>
      </w:pPr>
      <w:r w:rsidRPr="00716193">
        <w:rPr>
          <w:b/>
        </w:rPr>
        <w:t xml:space="preserve">за извършен одит </w:t>
      </w:r>
      <w:r w:rsidR="00BB4B6D" w:rsidRPr="00716193">
        <w:rPr>
          <w:b/>
        </w:rPr>
        <w:t>на „Национална спортна база“ ЕАД</w:t>
      </w:r>
    </w:p>
    <w:p w:rsidR="006A68C2" w:rsidRPr="00716193" w:rsidRDefault="00BB4B6D" w:rsidP="006A68C2">
      <w:pPr>
        <w:tabs>
          <w:tab w:val="left" w:pos="720"/>
        </w:tabs>
        <w:jc w:val="center"/>
        <w:rPr>
          <w:b/>
        </w:rPr>
      </w:pPr>
      <w:r w:rsidRPr="00716193">
        <w:rPr>
          <w:b/>
        </w:rPr>
        <w:t>за периода от 01.01.2013 г. до 31.12.2014 г.</w:t>
      </w:r>
    </w:p>
    <w:p w:rsidR="006A68C2" w:rsidRPr="00716193" w:rsidRDefault="006A68C2" w:rsidP="006A68C2">
      <w:pPr>
        <w:tabs>
          <w:tab w:val="left" w:pos="720"/>
        </w:tabs>
        <w:jc w:val="center"/>
        <w:rPr>
          <w:b/>
        </w:rPr>
      </w:pPr>
    </w:p>
    <w:p w:rsidR="006A68C2" w:rsidRPr="00716193" w:rsidRDefault="006A68C2" w:rsidP="006A68C2">
      <w:pPr>
        <w:tabs>
          <w:tab w:val="left" w:pos="720"/>
        </w:tabs>
        <w:jc w:val="center"/>
        <w:rPr>
          <w:b/>
        </w:rPr>
      </w:pPr>
    </w:p>
    <w:p w:rsidR="006A68C2" w:rsidRPr="00716193" w:rsidRDefault="006A68C2" w:rsidP="006A68C2">
      <w:pPr>
        <w:tabs>
          <w:tab w:val="left" w:pos="720"/>
        </w:tabs>
        <w:jc w:val="center"/>
        <w:rPr>
          <w:b/>
        </w:rPr>
      </w:pPr>
    </w:p>
    <w:p w:rsidR="006A68C2" w:rsidRPr="00716193" w:rsidRDefault="006A68C2" w:rsidP="006A68C2">
      <w:pPr>
        <w:tabs>
          <w:tab w:val="left" w:pos="720"/>
        </w:tabs>
        <w:jc w:val="center"/>
        <w:rPr>
          <w:b/>
        </w:rPr>
      </w:pPr>
    </w:p>
    <w:p w:rsidR="006A68C2" w:rsidRPr="00716193" w:rsidRDefault="006A68C2" w:rsidP="006A68C2">
      <w:pPr>
        <w:tabs>
          <w:tab w:val="left" w:pos="720"/>
        </w:tabs>
        <w:jc w:val="center"/>
        <w:rPr>
          <w:b/>
        </w:rPr>
      </w:pPr>
    </w:p>
    <w:p w:rsidR="006A68C2" w:rsidRPr="00716193" w:rsidRDefault="006A68C2" w:rsidP="006A68C2">
      <w:pPr>
        <w:tabs>
          <w:tab w:val="left" w:pos="720"/>
        </w:tabs>
        <w:jc w:val="center"/>
        <w:rPr>
          <w:b/>
        </w:rPr>
      </w:pPr>
    </w:p>
    <w:p w:rsidR="006A68C2" w:rsidRPr="00716193" w:rsidRDefault="006A68C2" w:rsidP="006A68C2">
      <w:pPr>
        <w:tabs>
          <w:tab w:val="left" w:pos="720"/>
        </w:tabs>
        <w:jc w:val="center"/>
        <w:rPr>
          <w:b/>
        </w:rPr>
      </w:pPr>
    </w:p>
    <w:p w:rsidR="006A68C2" w:rsidRPr="00716193" w:rsidRDefault="006A68C2" w:rsidP="006A68C2">
      <w:pPr>
        <w:tabs>
          <w:tab w:val="left" w:pos="720"/>
        </w:tabs>
        <w:jc w:val="center"/>
        <w:rPr>
          <w:b/>
        </w:rPr>
      </w:pPr>
    </w:p>
    <w:p w:rsidR="006A68C2" w:rsidRPr="00716193" w:rsidRDefault="006A68C2" w:rsidP="006A68C2">
      <w:pPr>
        <w:tabs>
          <w:tab w:val="left" w:pos="720"/>
        </w:tabs>
        <w:jc w:val="center"/>
        <w:rPr>
          <w:b/>
        </w:rPr>
      </w:pPr>
    </w:p>
    <w:p w:rsidR="006A68C2" w:rsidRPr="00716193" w:rsidRDefault="006A68C2" w:rsidP="006A68C2">
      <w:pPr>
        <w:tabs>
          <w:tab w:val="left" w:pos="720"/>
        </w:tabs>
        <w:jc w:val="center"/>
        <w:rPr>
          <w:b/>
        </w:rPr>
      </w:pPr>
    </w:p>
    <w:p w:rsidR="006A68C2" w:rsidRPr="00716193" w:rsidRDefault="006A68C2" w:rsidP="006A68C2">
      <w:pPr>
        <w:tabs>
          <w:tab w:val="left" w:pos="720"/>
        </w:tabs>
        <w:jc w:val="center"/>
        <w:rPr>
          <w:b/>
        </w:rPr>
      </w:pPr>
    </w:p>
    <w:p w:rsidR="006A68C2" w:rsidRPr="00716193" w:rsidRDefault="006A68C2" w:rsidP="006A68C2">
      <w:pPr>
        <w:tabs>
          <w:tab w:val="left" w:pos="720"/>
        </w:tabs>
        <w:jc w:val="center"/>
        <w:rPr>
          <w:b/>
        </w:rPr>
      </w:pPr>
    </w:p>
    <w:p w:rsidR="006A68C2" w:rsidRPr="00716193" w:rsidRDefault="006A68C2" w:rsidP="006A68C2">
      <w:pPr>
        <w:tabs>
          <w:tab w:val="left" w:pos="720"/>
        </w:tabs>
        <w:jc w:val="center"/>
        <w:rPr>
          <w:b/>
        </w:rPr>
      </w:pPr>
    </w:p>
    <w:p w:rsidR="006A68C2" w:rsidRPr="00716193" w:rsidRDefault="006A68C2" w:rsidP="006A68C2">
      <w:pPr>
        <w:tabs>
          <w:tab w:val="left" w:pos="720"/>
        </w:tabs>
        <w:jc w:val="center"/>
        <w:rPr>
          <w:b/>
        </w:rPr>
      </w:pPr>
    </w:p>
    <w:p w:rsidR="006A68C2" w:rsidRPr="00716193" w:rsidRDefault="006A68C2" w:rsidP="006A68C2">
      <w:pPr>
        <w:tabs>
          <w:tab w:val="left" w:pos="720"/>
        </w:tabs>
        <w:jc w:val="center"/>
        <w:rPr>
          <w:b/>
        </w:rPr>
      </w:pPr>
    </w:p>
    <w:p w:rsidR="006A68C2" w:rsidRPr="00716193" w:rsidRDefault="006A68C2" w:rsidP="006A68C2">
      <w:pPr>
        <w:tabs>
          <w:tab w:val="left" w:pos="720"/>
        </w:tabs>
        <w:jc w:val="center"/>
        <w:rPr>
          <w:b/>
        </w:rPr>
      </w:pPr>
    </w:p>
    <w:p w:rsidR="006A68C2" w:rsidRPr="00716193" w:rsidRDefault="006A68C2" w:rsidP="006A68C2">
      <w:pPr>
        <w:tabs>
          <w:tab w:val="left" w:pos="720"/>
        </w:tabs>
        <w:jc w:val="center"/>
        <w:rPr>
          <w:b/>
        </w:rPr>
      </w:pPr>
    </w:p>
    <w:p w:rsidR="006A68C2" w:rsidRPr="00716193" w:rsidRDefault="006A68C2" w:rsidP="006A68C2">
      <w:pPr>
        <w:tabs>
          <w:tab w:val="left" w:pos="720"/>
        </w:tabs>
        <w:jc w:val="center"/>
        <w:rPr>
          <w:lang w:val="ru-RU"/>
        </w:rPr>
      </w:pPr>
    </w:p>
    <w:p w:rsidR="00701B37" w:rsidRDefault="00701B37" w:rsidP="002A35F2">
      <w:pPr>
        <w:tabs>
          <w:tab w:val="left" w:pos="720"/>
        </w:tabs>
        <w:jc w:val="center"/>
        <w:rPr>
          <w:sz w:val="20"/>
          <w:szCs w:val="20"/>
          <w:lang w:val="en-US"/>
        </w:rPr>
      </w:pPr>
    </w:p>
    <w:p w:rsidR="002A35F2" w:rsidRPr="00716193" w:rsidRDefault="002A35F2" w:rsidP="002A35F2">
      <w:pPr>
        <w:tabs>
          <w:tab w:val="left" w:pos="720"/>
        </w:tabs>
        <w:jc w:val="center"/>
        <w:rPr>
          <w:sz w:val="20"/>
          <w:szCs w:val="20"/>
        </w:rPr>
      </w:pPr>
      <w:r w:rsidRPr="00716193">
        <w:rPr>
          <w:sz w:val="20"/>
          <w:szCs w:val="20"/>
        </w:rPr>
        <w:t xml:space="preserve">Настоящият окончателен одитен доклад е приет с Решение № </w:t>
      </w:r>
      <w:r w:rsidR="003C736D">
        <w:rPr>
          <w:sz w:val="20"/>
          <w:szCs w:val="20"/>
          <w:lang w:val="en-US"/>
        </w:rPr>
        <w:t xml:space="preserve">165 </w:t>
      </w:r>
      <w:r w:rsidRPr="00716193">
        <w:rPr>
          <w:sz w:val="20"/>
          <w:szCs w:val="20"/>
        </w:rPr>
        <w:t xml:space="preserve">от </w:t>
      </w:r>
      <w:r w:rsidR="003C736D">
        <w:rPr>
          <w:sz w:val="20"/>
          <w:szCs w:val="20"/>
          <w:lang w:val="en-US"/>
        </w:rPr>
        <w:t>22.10.</w:t>
      </w:r>
      <w:r w:rsidRPr="00716193">
        <w:rPr>
          <w:sz w:val="20"/>
          <w:szCs w:val="20"/>
        </w:rPr>
        <w:t xml:space="preserve">2015 г. </w:t>
      </w:r>
    </w:p>
    <w:p w:rsidR="002A35F2" w:rsidRPr="00716193" w:rsidRDefault="002A35F2" w:rsidP="002A35F2">
      <w:pPr>
        <w:tabs>
          <w:tab w:val="left" w:pos="720"/>
        </w:tabs>
        <w:jc w:val="center"/>
        <w:rPr>
          <w:sz w:val="20"/>
          <w:szCs w:val="20"/>
        </w:rPr>
      </w:pPr>
      <w:r w:rsidRPr="00716193">
        <w:rPr>
          <w:sz w:val="20"/>
          <w:szCs w:val="20"/>
        </w:rPr>
        <w:t>на Сметната палата</w:t>
      </w:r>
    </w:p>
    <w:p w:rsidR="00FB3DDD" w:rsidRPr="00716193" w:rsidRDefault="00FB3DDD" w:rsidP="00010922">
      <w:pPr>
        <w:tabs>
          <w:tab w:val="left" w:pos="0"/>
        </w:tabs>
        <w:spacing w:before="120" w:after="360"/>
        <w:ind w:firstLine="1077"/>
        <w:jc w:val="center"/>
        <w:rPr>
          <w:b/>
        </w:rPr>
      </w:pPr>
      <w:r w:rsidRPr="00716193">
        <w:br w:type="page"/>
      </w:r>
      <w:r w:rsidRPr="00716193">
        <w:rPr>
          <w:b/>
        </w:rPr>
        <w:lastRenderedPageBreak/>
        <w:t>СЪДЪРЖАНИЕ</w:t>
      </w:r>
    </w:p>
    <w:tbl>
      <w:tblPr>
        <w:tblW w:w="10162" w:type="dxa"/>
        <w:jc w:val="center"/>
        <w:tblLook w:val="01E0" w:firstRow="1" w:lastRow="1" w:firstColumn="1" w:lastColumn="1" w:noHBand="0" w:noVBand="0"/>
      </w:tblPr>
      <w:tblGrid>
        <w:gridCol w:w="8613"/>
        <w:gridCol w:w="1549"/>
      </w:tblGrid>
      <w:tr w:rsidR="00FB3DDD" w:rsidRPr="00716193" w:rsidTr="00010922">
        <w:trPr>
          <w:jc w:val="center"/>
        </w:trPr>
        <w:tc>
          <w:tcPr>
            <w:tcW w:w="8613" w:type="dxa"/>
            <w:vAlign w:val="center"/>
          </w:tcPr>
          <w:p w:rsidR="00FB3DDD" w:rsidRPr="00716193" w:rsidRDefault="00503F49" w:rsidP="00010922">
            <w:pPr>
              <w:tabs>
                <w:tab w:val="left" w:pos="720"/>
              </w:tabs>
              <w:ind w:firstLine="577"/>
              <w:jc w:val="both"/>
              <w:rPr>
                <w:b/>
              </w:rPr>
            </w:pPr>
            <w:r w:rsidRPr="00716193">
              <w:rPr>
                <w:b/>
              </w:rPr>
              <w:t>Списък на съкращенията</w:t>
            </w:r>
          </w:p>
        </w:tc>
        <w:tc>
          <w:tcPr>
            <w:tcW w:w="1549" w:type="dxa"/>
          </w:tcPr>
          <w:p w:rsidR="00FB3DDD" w:rsidRPr="00716193" w:rsidRDefault="00A449B8" w:rsidP="00010922">
            <w:pPr>
              <w:tabs>
                <w:tab w:val="left" w:pos="720"/>
              </w:tabs>
              <w:jc w:val="center"/>
              <w:rPr>
                <w:lang w:val="en-US"/>
              </w:rPr>
            </w:pPr>
            <w:r w:rsidRPr="00716193">
              <w:rPr>
                <w:lang w:val="en-US"/>
              </w:rPr>
              <w:t>4</w:t>
            </w:r>
          </w:p>
        </w:tc>
      </w:tr>
      <w:tr w:rsidR="00FB3DDD" w:rsidRPr="00716193" w:rsidTr="00010922">
        <w:trPr>
          <w:jc w:val="center"/>
        </w:trPr>
        <w:tc>
          <w:tcPr>
            <w:tcW w:w="8613" w:type="dxa"/>
            <w:vAlign w:val="center"/>
          </w:tcPr>
          <w:p w:rsidR="00FB3DDD" w:rsidRPr="00716193" w:rsidRDefault="00503F49" w:rsidP="00010922">
            <w:pPr>
              <w:tabs>
                <w:tab w:val="left" w:pos="720"/>
              </w:tabs>
              <w:ind w:firstLine="577"/>
              <w:jc w:val="both"/>
            </w:pPr>
            <w:r w:rsidRPr="00716193">
              <w:rPr>
                <w:b/>
                <w:color w:val="000000"/>
              </w:rPr>
              <w:t>Част първа Резюме</w:t>
            </w:r>
          </w:p>
        </w:tc>
        <w:tc>
          <w:tcPr>
            <w:tcW w:w="1549" w:type="dxa"/>
          </w:tcPr>
          <w:p w:rsidR="00FB3DDD" w:rsidRPr="00716193" w:rsidRDefault="00A449B8" w:rsidP="00010922">
            <w:pPr>
              <w:tabs>
                <w:tab w:val="left" w:pos="720"/>
              </w:tabs>
              <w:jc w:val="center"/>
              <w:rPr>
                <w:lang w:val="en-US"/>
              </w:rPr>
            </w:pPr>
            <w:r w:rsidRPr="00716193">
              <w:rPr>
                <w:lang w:val="en-US"/>
              </w:rPr>
              <w:t>5</w:t>
            </w:r>
          </w:p>
        </w:tc>
      </w:tr>
      <w:tr w:rsidR="00FB3DDD" w:rsidRPr="00716193" w:rsidTr="00010922">
        <w:trPr>
          <w:jc w:val="center"/>
        </w:trPr>
        <w:tc>
          <w:tcPr>
            <w:tcW w:w="8613" w:type="dxa"/>
            <w:vAlign w:val="center"/>
          </w:tcPr>
          <w:p w:rsidR="00FB3DDD" w:rsidRPr="00716193" w:rsidRDefault="00503F49" w:rsidP="00010922">
            <w:pPr>
              <w:tabs>
                <w:tab w:val="left" w:pos="720"/>
              </w:tabs>
              <w:ind w:firstLine="577"/>
              <w:jc w:val="both"/>
            </w:pPr>
            <w:r w:rsidRPr="00716193">
              <w:rPr>
                <w:b/>
                <w:color w:val="000000"/>
              </w:rPr>
              <w:t>Част втора Въведение</w:t>
            </w:r>
          </w:p>
        </w:tc>
        <w:tc>
          <w:tcPr>
            <w:tcW w:w="1549" w:type="dxa"/>
          </w:tcPr>
          <w:p w:rsidR="00FB3DDD" w:rsidRPr="00716193" w:rsidRDefault="00D465C2" w:rsidP="00010922">
            <w:pPr>
              <w:tabs>
                <w:tab w:val="left" w:pos="720"/>
              </w:tabs>
              <w:jc w:val="center"/>
            </w:pPr>
            <w:r w:rsidRPr="00716193">
              <w:t>8</w:t>
            </w:r>
          </w:p>
        </w:tc>
      </w:tr>
      <w:tr w:rsidR="00FB3DDD" w:rsidRPr="00716193" w:rsidTr="00010922">
        <w:trPr>
          <w:jc w:val="center"/>
        </w:trPr>
        <w:tc>
          <w:tcPr>
            <w:tcW w:w="8613" w:type="dxa"/>
            <w:vAlign w:val="center"/>
          </w:tcPr>
          <w:p w:rsidR="00FB3DDD" w:rsidRPr="00716193" w:rsidRDefault="00027807" w:rsidP="00010922">
            <w:pPr>
              <w:tabs>
                <w:tab w:val="left" w:pos="720"/>
              </w:tabs>
              <w:ind w:firstLine="577"/>
              <w:jc w:val="both"/>
            </w:pPr>
            <w:r w:rsidRPr="00716193">
              <w:t>1</w:t>
            </w:r>
            <w:r w:rsidR="00503F49" w:rsidRPr="00716193">
              <w:t>. Основание за извършване на одита</w:t>
            </w:r>
          </w:p>
        </w:tc>
        <w:tc>
          <w:tcPr>
            <w:tcW w:w="1549" w:type="dxa"/>
          </w:tcPr>
          <w:p w:rsidR="00FB3DDD" w:rsidRPr="00716193" w:rsidRDefault="00D465C2" w:rsidP="00010922">
            <w:pPr>
              <w:tabs>
                <w:tab w:val="left" w:pos="720"/>
              </w:tabs>
              <w:jc w:val="center"/>
            </w:pPr>
            <w:r w:rsidRPr="00716193">
              <w:t>8</w:t>
            </w:r>
          </w:p>
        </w:tc>
      </w:tr>
      <w:tr w:rsidR="00FB3DDD" w:rsidRPr="00716193" w:rsidTr="00010922">
        <w:trPr>
          <w:jc w:val="center"/>
        </w:trPr>
        <w:tc>
          <w:tcPr>
            <w:tcW w:w="8613" w:type="dxa"/>
            <w:vAlign w:val="center"/>
          </w:tcPr>
          <w:p w:rsidR="00FB3DDD" w:rsidRPr="00716193" w:rsidRDefault="00027807" w:rsidP="00010922">
            <w:pPr>
              <w:tabs>
                <w:tab w:val="left" w:pos="720"/>
              </w:tabs>
              <w:ind w:firstLine="577"/>
              <w:jc w:val="both"/>
            </w:pPr>
            <w:r w:rsidRPr="00716193">
              <w:t>2</w:t>
            </w:r>
            <w:r w:rsidR="00A66C7E" w:rsidRPr="00716193">
              <w:t>. Информация за одитирания обект</w:t>
            </w:r>
          </w:p>
        </w:tc>
        <w:tc>
          <w:tcPr>
            <w:tcW w:w="1549" w:type="dxa"/>
          </w:tcPr>
          <w:p w:rsidR="00FB3DDD" w:rsidRPr="00716193" w:rsidRDefault="00D465C2" w:rsidP="00010922">
            <w:pPr>
              <w:tabs>
                <w:tab w:val="left" w:pos="720"/>
              </w:tabs>
              <w:jc w:val="center"/>
            </w:pPr>
            <w:r w:rsidRPr="00716193">
              <w:t>8</w:t>
            </w:r>
          </w:p>
        </w:tc>
      </w:tr>
      <w:tr w:rsidR="00503F49" w:rsidRPr="00716193" w:rsidTr="00010922">
        <w:trPr>
          <w:jc w:val="center"/>
        </w:trPr>
        <w:tc>
          <w:tcPr>
            <w:tcW w:w="8613" w:type="dxa"/>
            <w:vAlign w:val="center"/>
          </w:tcPr>
          <w:p w:rsidR="00503F49" w:rsidRPr="00716193" w:rsidRDefault="00027807" w:rsidP="00010922">
            <w:pPr>
              <w:tabs>
                <w:tab w:val="left" w:pos="720"/>
              </w:tabs>
              <w:ind w:firstLine="577"/>
              <w:jc w:val="both"/>
            </w:pPr>
            <w:r w:rsidRPr="00716193">
              <w:t>3</w:t>
            </w:r>
            <w:r w:rsidR="00A66C7E" w:rsidRPr="00716193">
              <w:t>. Цели на одита</w:t>
            </w:r>
          </w:p>
        </w:tc>
        <w:tc>
          <w:tcPr>
            <w:tcW w:w="1549" w:type="dxa"/>
          </w:tcPr>
          <w:p w:rsidR="00503F49" w:rsidRPr="00716193" w:rsidRDefault="00A449B8" w:rsidP="00010922">
            <w:pPr>
              <w:tabs>
                <w:tab w:val="left" w:pos="720"/>
              </w:tabs>
              <w:jc w:val="center"/>
              <w:rPr>
                <w:lang w:val="en-US"/>
              </w:rPr>
            </w:pPr>
            <w:r w:rsidRPr="00716193">
              <w:rPr>
                <w:lang w:val="en-US"/>
              </w:rPr>
              <w:t>10</w:t>
            </w:r>
          </w:p>
        </w:tc>
      </w:tr>
      <w:tr w:rsidR="00503F49" w:rsidRPr="00716193" w:rsidTr="00010922">
        <w:trPr>
          <w:jc w:val="center"/>
        </w:trPr>
        <w:tc>
          <w:tcPr>
            <w:tcW w:w="8613" w:type="dxa"/>
            <w:vAlign w:val="center"/>
          </w:tcPr>
          <w:p w:rsidR="00503F49" w:rsidRPr="00716193" w:rsidRDefault="00027807" w:rsidP="00010922">
            <w:pPr>
              <w:tabs>
                <w:tab w:val="left" w:pos="720"/>
              </w:tabs>
              <w:ind w:firstLine="577"/>
              <w:jc w:val="both"/>
            </w:pPr>
            <w:r w:rsidRPr="00716193">
              <w:t>4</w:t>
            </w:r>
            <w:r w:rsidR="00A66C7E" w:rsidRPr="00716193">
              <w:t>. Обхват на одита и ограничения в обхвата</w:t>
            </w:r>
          </w:p>
        </w:tc>
        <w:tc>
          <w:tcPr>
            <w:tcW w:w="1549" w:type="dxa"/>
          </w:tcPr>
          <w:p w:rsidR="00503F49" w:rsidRPr="00716193" w:rsidRDefault="00A449B8" w:rsidP="00010922">
            <w:pPr>
              <w:tabs>
                <w:tab w:val="left" w:pos="720"/>
              </w:tabs>
              <w:jc w:val="center"/>
            </w:pPr>
            <w:r w:rsidRPr="00716193">
              <w:rPr>
                <w:lang w:val="en-US"/>
              </w:rPr>
              <w:t>1</w:t>
            </w:r>
            <w:r w:rsidR="00D465C2" w:rsidRPr="00716193">
              <w:t>0</w:t>
            </w:r>
          </w:p>
        </w:tc>
      </w:tr>
      <w:tr w:rsidR="00503F49" w:rsidRPr="00716193" w:rsidTr="00010922">
        <w:trPr>
          <w:jc w:val="center"/>
        </w:trPr>
        <w:tc>
          <w:tcPr>
            <w:tcW w:w="8613" w:type="dxa"/>
            <w:vAlign w:val="center"/>
          </w:tcPr>
          <w:p w:rsidR="00503F49" w:rsidRPr="00716193" w:rsidRDefault="00027807" w:rsidP="00010922">
            <w:pPr>
              <w:tabs>
                <w:tab w:val="left" w:pos="720"/>
              </w:tabs>
              <w:ind w:firstLine="577"/>
              <w:jc w:val="both"/>
            </w:pPr>
            <w:r w:rsidRPr="00716193">
              <w:t>5</w:t>
            </w:r>
            <w:r w:rsidR="00A66C7E" w:rsidRPr="00716193">
              <w:t>. Критерии за оценка</w:t>
            </w:r>
          </w:p>
        </w:tc>
        <w:tc>
          <w:tcPr>
            <w:tcW w:w="1549" w:type="dxa"/>
          </w:tcPr>
          <w:p w:rsidR="00503F49" w:rsidRPr="00716193" w:rsidRDefault="00A449B8" w:rsidP="00010922">
            <w:pPr>
              <w:tabs>
                <w:tab w:val="left" w:pos="720"/>
              </w:tabs>
              <w:jc w:val="center"/>
            </w:pPr>
            <w:r w:rsidRPr="00716193">
              <w:rPr>
                <w:lang w:val="en-US"/>
              </w:rPr>
              <w:t>1</w:t>
            </w:r>
            <w:r w:rsidR="00D465C2" w:rsidRPr="00716193">
              <w:t>1</w:t>
            </w:r>
          </w:p>
        </w:tc>
      </w:tr>
      <w:tr w:rsidR="00503F49" w:rsidRPr="00716193" w:rsidTr="00010922">
        <w:trPr>
          <w:jc w:val="center"/>
        </w:trPr>
        <w:tc>
          <w:tcPr>
            <w:tcW w:w="8613" w:type="dxa"/>
            <w:vAlign w:val="center"/>
          </w:tcPr>
          <w:p w:rsidR="00503F49" w:rsidRPr="00716193" w:rsidRDefault="00027807" w:rsidP="00010922">
            <w:pPr>
              <w:tabs>
                <w:tab w:val="left" w:pos="720"/>
              </w:tabs>
              <w:ind w:firstLine="577"/>
              <w:jc w:val="both"/>
            </w:pPr>
            <w:r w:rsidRPr="00716193">
              <w:t>6</w:t>
            </w:r>
            <w:r w:rsidR="00A66C7E" w:rsidRPr="00716193">
              <w:t>. Одитни стандарти</w:t>
            </w:r>
          </w:p>
        </w:tc>
        <w:tc>
          <w:tcPr>
            <w:tcW w:w="1549" w:type="dxa"/>
          </w:tcPr>
          <w:p w:rsidR="00503F49" w:rsidRPr="00716193" w:rsidRDefault="00D465C2" w:rsidP="00010922">
            <w:pPr>
              <w:tabs>
                <w:tab w:val="left" w:pos="720"/>
              </w:tabs>
              <w:jc w:val="center"/>
            </w:pPr>
            <w:r w:rsidRPr="00716193">
              <w:rPr>
                <w:lang w:val="en-US"/>
              </w:rPr>
              <w:t>1</w:t>
            </w:r>
            <w:r w:rsidRPr="00716193">
              <w:t>1</w:t>
            </w:r>
          </w:p>
        </w:tc>
      </w:tr>
      <w:tr w:rsidR="00503F49" w:rsidRPr="00716193" w:rsidTr="00010922">
        <w:trPr>
          <w:jc w:val="center"/>
        </w:trPr>
        <w:tc>
          <w:tcPr>
            <w:tcW w:w="8613" w:type="dxa"/>
            <w:vAlign w:val="center"/>
          </w:tcPr>
          <w:p w:rsidR="00503F49" w:rsidRPr="00716193" w:rsidRDefault="00F17878" w:rsidP="00010922">
            <w:pPr>
              <w:tabs>
                <w:tab w:val="left" w:pos="720"/>
              </w:tabs>
              <w:ind w:firstLine="577"/>
              <w:jc w:val="both"/>
            </w:pPr>
            <w:r w:rsidRPr="00716193">
              <w:rPr>
                <w:b/>
                <w:color w:val="000000"/>
              </w:rPr>
              <w:t>Част трета Констатации</w:t>
            </w:r>
          </w:p>
        </w:tc>
        <w:tc>
          <w:tcPr>
            <w:tcW w:w="1549" w:type="dxa"/>
          </w:tcPr>
          <w:p w:rsidR="00503F49" w:rsidRPr="00716193" w:rsidRDefault="008C482C" w:rsidP="008C482C">
            <w:pPr>
              <w:tabs>
                <w:tab w:val="left" w:pos="720"/>
              </w:tabs>
              <w:jc w:val="center"/>
              <w:rPr>
                <w:lang w:val="en-US"/>
              </w:rPr>
            </w:pPr>
            <w:r>
              <w:rPr>
                <w:lang w:val="en-US"/>
              </w:rPr>
              <w:t>11</w:t>
            </w:r>
          </w:p>
        </w:tc>
      </w:tr>
      <w:tr w:rsidR="00503F49" w:rsidRPr="00716193" w:rsidTr="00010922">
        <w:trPr>
          <w:jc w:val="center"/>
        </w:trPr>
        <w:tc>
          <w:tcPr>
            <w:tcW w:w="8613" w:type="dxa"/>
            <w:vAlign w:val="center"/>
          </w:tcPr>
          <w:p w:rsidR="00503F49" w:rsidRPr="00716193" w:rsidRDefault="00F17878" w:rsidP="00010922">
            <w:pPr>
              <w:tabs>
                <w:tab w:val="left" w:pos="720"/>
              </w:tabs>
              <w:ind w:firstLine="577"/>
              <w:jc w:val="both"/>
              <w:rPr>
                <w:b/>
              </w:rPr>
            </w:pPr>
            <w:r w:rsidRPr="00716193">
              <w:rPr>
                <w:b/>
                <w:lang w:val="en-US"/>
              </w:rPr>
              <w:t>I</w:t>
            </w:r>
            <w:r w:rsidRPr="00716193">
              <w:rPr>
                <w:b/>
              </w:rPr>
              <w:t>. Управление на дружеството</w:t>
            </w:r>
          </w:p>
        </w:tc>
        <w:tc>
          <w:tcPr>
            <w:tcW w:w="1549" w:type="dxa"/>
          </w:tcPr>
          <w:p w:rsidR="00503F49" w:rsidRPr="00716193" w:rsidRDefault="008C482C" w:rsidP="00010922">
            <w:pPr>
              <w:tabs>
                <w:tab w:val="left" w:pos="720"/>
              </w:tabs>
              <w:jc w:val="center"/>
              <w:rPr>
                <w:lang w:val="en-US"/>
              </w:rPr>
            </w:pPr>
            <w:r>
              <w:rPr>
                <w:lang w:val="en-US"/>
              </w:rPr>
              <w:t>11</w:t>
            </w:r>
          </w:p>
        </w:tc>
      </w:tr>
      <w:tr w:rsidR="00503F49" w:rsidRPr="00716193" w:rsidTr="00010922">
        <w:trPr>
          <w:jc w:val="center"/>
        </w:trPr>
        <w:tc>
          <w:tcPr>
            <w:tcW w:w="8613" w:type="dxa"/>
            <w:vAlign w:val="center"/>
          </w:tcPr>
          <w:p w:rsidR="00503F49" w:rsidRPr="00716193" w:rsidRDefault="00F17878" w:rsidP="00010922">
            <w:pPr>
              <w:pStyle w:val="BodyText"/>
              <w:spacing w:after="0"/>
              <w:ind w:firstLine="577"/>
              <w:jc w:val="both"/>
            </w:pPr>
            <w:r w:rsidRPr="00716193">
              <w:t>1. Решения на едноличния собственик на капитала и на управителния орган на „Национална спортна база“ ЕАД, във връзка с организацията, управлението, отчитането и контрола на дейността на дружеството</w:t>
            </w:r>
          </w:p>
        </w:tc>
        <w:tc>
          <w:tcPr>
            <w:tcW w:w="1549" w:type="dxa"/>
          </w:tcPr>
          <w:p w:rsidR="00503F49" w:rsidRPr="00716193" w:rsidRDefault="008C482C" w:rsidP="00010922">
            <w:pPr>
              <w:tabs>
                <w:tab w:val="left" w:pos="720"/>
              </w:tabs>
              <w:jc w:val="center"/>
              <w:rPr>
                <w:lang w:val="en-US"/>
              </w:rPr>
            </w:pPr>
            <w:r>
              <w:rPr>
                <w:lang w:val="en-US"/>
              </w:rPr>
              <w:t>11</w:t>
            </w:r>
          </w:p>
        </w:tc>
      </w:tr>
      <w:tr w:rsidR="00503F49" w:rsidRPr="00716193" w:rsidTr="00010922">
        <w:trPr>
          <w:jc w:val="center"/>
        </w:trPr>
        <w:tc>
          <w:tcPr>
            <w:tcW w:w="8613" w:type="dxa"/>
            <w:vAlign w:val="center"/>
          </w:tcPr>
          <w:p w:rsidR="00503F49" w:rsidRPr="00716193" w:rsidRDefault="00F17878" w:rsidP="00010922">
            <w:pPr>
              <w:pStyle w:val="BodyText"/>
              <w:spacing w:after="0"/>
              <w:ind w:firstLine="577"/>
              <w:jc w:val="both"/>
            </w:pPr>
            <w:r w:rsidRPr="00716193">
              <w:t>1.1. Определяне на структурно звено в системата на МФВС/ММС, което да подпомага министъра в рамките на неговата компетентност при провеждане политиката по отношение на търговските дружества</w:t>
            </w:r>
          </w:p>
        </w:tc>
        <w:tc>
          <w:tcPr>
            <w:tcW w:w="1549" w:type="dxa"/>
          </w:tcPr>
          <w:p w:rsidR="00503F49" w:rsidRPr="00716193" w:rsidRDefault="00A449B8" w:rsidP="00010922">
            <w:pPr>
              <w:tabs>
                <w:tab w:val="left" w:pos="720"/>
              </w:tabs>
              <w:jc w:val="center"/>
              <w:rPr>
                <w:lang w:val="en-US"/>
              </w:rPr>
            </w:pPr>
            <w:r w:rsidRPr="00716193">
              <w:rPr>
                <w:lang w:val="en-US"/>
              </w:rPr>
              <w:t>1</w:t>
            </w:r>
            <w:r w:rsidR="008C482C">
              <w:rPr>
                <w:lang w:val="en-US"/>
              </w:rPr>
              <w:t>1</w:t>
            </w:r>
          </w:p>
        </w:tc>
      </w:tr>
      <w:tr w:rsidR="00503F49" w:rsidRPr="00716193" w:rsidTr="00010922">
        <w:trPr>
          <w:jc w:val="center"/>
        </w:trPr>
        <w:tc>
          <w:tcPr>
            <w:tcW w:w="8613" w:type="dxa"/>
            <w:vAlign w:val="center"/>
          </w:tcPr>
          <w:p w:rsidR="00503F49" w:rsidRPr="00716193" w:rsidRDefault="00F25AE0" w:rsidP="00010922">
            <w:pPr>
              <w:tabs>
                <w:tab w:val="left" w:pos="720"/>
              </w:tabs>
              <w:ind w:firstLine="577"/>
              <w:jc w:val="both"/>
            </w:pPr>
            <w:r w:rsidRPr="00716193">
              <w:t>1.2. Решения по правомощия на едноличния собственик на капитала да изменя и допълва устава и за намаляване и увеличаване на капитала на дружеството</w:t>
            </w:r>
          </w:p>
        </w:tc>
        <w:tc>
          <w:tcPr>
            <w:tcW w:w="1549" w:type="dxa"/>
          </w:tcPr>
          <w:p w:rsidR="00503F49" w:rsidRPr="008C482C" w:rsidRDefault="00D465C2" w:rsidP="00010922">
            <w:pPr>
              <w:tabs>
                <w:tab w:val="left" w:pos="720"/>
              </w:tabs>
              <w:jc w:val="center"/>
              <w:rPr>
                <w:lang w:val="en-US"/>
              </w:rPr>
            </w:pPr>
            <w:r w:rsidRPr="00716193">
              <w:rPr>
                <w:lang w:val="en-US"/>
              </w:rPr>
              <w:t>1</w:t>
            </w:r>
            <w:r w:rsidR="008C482C">
              <w:rPr>
                <w:lang w:val="en-US"/>
              </w:rPr>
              <w:t>3</w:t>
            </w:r>
          </w:p>
        </w:tc>
      </w:tr>
      <w:tr w:rsidR="00503F49" w:rsidRPr="00716193" w:rsidTr="00010922">
        <w:trPr>
          <w:jc w:val="center"/>
        </w:trPr>
        <w:tc>
          <w:tcPr>
            <w:tcW w:w="8613" w:type="dxa"/>
            <w:vAlign w:val="center"/>
          </w:tcPr>
          <w:p w:rsidR="00503F49" w:rsidRPr="00716193" w:rsidRDefault="00F25AE0" w:rsidP="00010922">
            <w:pPr>
              <w:tabs>
                <w:tab w:val="left" w:pos="0"/>
              </w:tabs>
              <w:ind w:firstLine="577"/>
              <w:jc w:val="both"/>
            </w:pPr>
            <w:r w:rsidRPr="00716193">
              <w:t>1.3. Решения на едноличния собственик на капитала за избиране и освобождаване на членовете на СД. Възлагане на управлението на дружеството</w:t>
            </w:r>
          </w:p>
        </w:tc>
        <w:tc>
          <w:tcPr>
            <w:tcW w:w="1549" w:type="dxa"/>
          </w:tcPr>
          <w:p w:rsidR="00503F49" w:rsidRPr="008C482C" w:rsidRDefault="00D465C2" w:rsidP="00010922">
            <w:pPr>
              <w:tabs>
                <w:tab w:val="left" w:pos="720"/>
              </w:tabs>
              <w:jc w:val="center"/>
              <w:rPr>
                <w:lang w:val="en-US"/>
              </w:rPr>
            </w:pPr>
            <w:r w:rsidRPr="00716193">
              <w:rPr>
                <w:lang w:val="en-US"/>
              </w:rPr>
              <w:t>1</w:t>
            </w:r>
            <w:r w:rsidR="008C482C">
              <w:rPr>
                <w:lang w:val="en-US"/>
              </w:rPr>
              <w:t>5</w:t>
            </w:r>
          </w:p>
        </w:tc>
      </w:tr>
      <w:tr w:rsidR="00503F49" w:rsidRPr="00716193" w:rsidTr="00010922">
        <w:trPr>
          <w:jc w:val="center"/>
        </w:trPr>
        <w:tc>
          <w:tcPr>
            <w:tcW w:w="8613" w:type="dxa"/>
            <w:vAlign w:val="center"/>
          </w:tcPr>
          <w:p w:rsidR="00503F49" w:rsidRPr="00716193" w:rsidRDefault="00F25AE0" w:rsidP="00010922">
            <w:pPr>
              <w:ind w:firstLine="577"/>
              <w:jc w:val="both"/>
            </w:pPr>
            <w:r w:rsidRPr="00716193">
              <w:t>1.4. Решения на едноличния собственик на капитала за избор на регистриран одитор за извършване на независим финансов одит на ГФО за 2013 г. и 2014 г. на дружеството</w:t>
            </w:r>
          </w:p>
        </w:tc>
        <w:tc>
          <w:tcPr>
            <w:tcW w:w="1549" w:type="dxa"/>
          </w:tcPr>
          <w:p w:rsidR="00503F49" w:rsidRPr="008C482C" w:rsidRDefault="00D465C2" w:rsidP="00010922">
            <w:pPr>
              <w:tabs>
                <w:tab w:val="left" w:pos="720"/>
              </w:tabs>
              <w:jc w:val="center"/>
              <w:rPr>
                <w:lang w:val="en-US"/>
              </w:rPr>
            </w:pPr>
            <w:r w:rsidRPr="00716193">
              <w:rPr>
                <w:lang w:val="en-US"/>
              </w:rPr>
              <w:t>1</w:t>
            </w:r>
            <w:r w:rsidR="008C482C">
              <w:rPr>
                <w:lang w:val="en-US"/>
              </w:rPr>
              <w:t>6</w:t>
            </w:r>
          </w:p>
        </w:tc>
      </w:tr>
      <w:tr w:rsidR="00503F49" w:rsidRPr="00716193" w:rsidTr="00010922">
        <w:trPr>
          <w:jc w:val="center"/>
        </w:trPr>
        <w:tc>
          <w:tcPr>
            <w:tcW w:w="8613" w:type="dxa"/>
            <w:vAlign w:val="center"/>
          </w:tcPr>
          <w:p w:rsidR="00503F49" w:rsidRPr="00716193" w:rsidRDefault="00F25AE0" w:rsidP="00010922">
            <w:pPr>
              <w:ind w:firstLine="577"/>
              <w:jc w:val="both"/>
            </w:pPr>
            <w:r w:rsidRPr="00716193">
              <w:rPr>
                <w:rFonts w:eastAsia="Calibri"/>
                <w:lang w:eastAsia="en-US"/>
              </w:rPr>
              <w:t>1.5.</w:t>
            </w:r>
            <w:r w:rsidRPr="00716193">
              <w:t xml:space="preserve"> Решения на едноличния собственик на капитала за одобряване на годишния счетоводен отчет след заверка от назначения регистриран одитор, за разпределяне и изплащане на печалба и за изплащане на тантиеми, за освобождаване от отговорност членовете на Съвета на директорите</w:t>
            </w:r>
          </w:p>
        </w:tc>
        <w:tc>
          <w:tcPr>
            <w:tcW w:w="1549" w:type="dxa"/>
          </w:tcPr>
          <w:p w:rsidR="00503F49" w:rsidRPr="00716193" w:rsidRDefault="00A449B8" w:rsidP="00010922">
            <w:pPr>
              <w:tabs>
                <w:tab w:val="left" w:pos="720"/>
              </w:tabs>
              <w:jc w:val="center"/>
              <w:rPr>
                <w:lang w:val="en-US"/>
              </w:rPr>
            </w:pPr>
            <w:r w:rsidRPr="00716193">
              <w:rPr>
                <w:lang w:val="en-US"/>
              </w:rPr>
              <w:t>1</w:t>
            </w:r>
            <w:r w:rsidR="008C482C">
              <w:rPr>
                <w:lang w:val="en-US"/>
              </w:rPr>
              <w:t>7</w:t>
            </w:r>
          </w:p>
        </w:tc>
      </w:tr>
      <w:tr w:rsidR="00503F49" w:rsidRPr="00716193" w:rsidTr="00010922">
        <w:trPr>
          <w:jc w:val="center"/>
        </w:trPr>
        <w:tc>
          <w:tcPr>
            <w:tcW w:w="8613" w:type="dxa"/>
            <w:vAlign w:val="center"/>
          </w:tcPr>
          <w:p w:rsidR="00503F49" w:rsidRPr="00716193" w:rsidRDefault="00E21856" w:rsidP="00010922">
            <w:pPr>
              <w:ind w:firstLine="577"/>
              <w:jc w:val="both"/>
              <w:outlineLvl w:val="0"/>
            </w:pPr>
            <w:r w:rsidRPr="00716193">
              <w:t>1.6. Разработване и представяне от Съвета на директорите на принципала за одобряване бизнес програма за целия срок на действие на договора за управление и поотделно за всяка една от годините</w:t>
            </w:r>
          </w:p>
        </w:tc>
        <w:tc>
          <w:tcPr>
            <w:tcW w:w="1549" w:type="dxa"/>
          </w:tcPr>
          <w:p w:rsidR="00503F49" w:rsidRPr="008C482C" w:rsidRDefault="00D465C2" w:rsidP="00010922">
            <w:pPr>
              <w:tabs>
                <w:tab w:val="left" w:pos="720"/>
              </w:tabs>
              <w:jc w:val="center"/>
              <w:rPr>
                <w:lang w:val="en-US"/>
              </w:rPr>
            </w:pPr>
            <w:r w:rsidRPr="00716193">
              <w:rPr>
                <w:lang w:val="en-US"/>
              </w:rPr>
              <w:t>1</w:t>
            </w:r>
            <w:r w:rsidR="008C482C">
              <w:rPr>
                <w:lang w:val="en-US"/>
              </w:rPr>
              <w:t>7</w:t>
            </w:r>
          </w:p>
        </w:tc>
      </w:tr>
      <w:tr w:rsidR="00503F49" w:rsidRPr="00716193" w:rsidTr="00010922">
        <w:trPr>
          <w:jc w:val="center"/>
        </w:trPr>
        <w:tc>
          <w:tcPr>
            <w:tcW w:w="8613" w:type="dxa"/>
            <w:vAlign w:val="center"/>
          </w:tcPr>
          <w:p w:rsidR="00503F49" w:rsidRPr="00716193" w:rsidRDefault="00E21856" w:rsidP="00010922">
            <w:pPr>
              <w:tabs>
                <w:tab w:val="left" w:pos="720"/>
              </w:tabs>
              <w:ind w:firstLine="577"/>
              <w:jc w:val="both"/>
            </w:pPr>
            <w:r w:rsidRPr="00716193">
              <w:rPr>
                <w:rFonts w:eastAsia="Calibri"/>
                <w:lang w:eastAsia="en-US"/>
              </w:rPr>
              <w:t xml:space="preserve">1.7. </w:t>
            </w:r>
            <w:r w:rsidRPr="00716193">
              <w:t>Отчетност за работата на Съвета на директорите</w:t>
            </w:r>
          </w:p>
        </w:tc>
        <w:tc>
          <w:tcPr>
            <w:tcW w:w="1549" w:type="dxa"/>
          </w:tcPr>
          <w:p w:rsidR="00503F49" w:rsidRPr="008C482C" w:rsidRDefault="008C482C" w:rsidP="00010922">
            <w:pPr>
              <w:tabs>
                <w:tab w:val="left" w:pos="720"/>
              </w:tabs>
              <w:jc w:val="center"/>
              <w:rPr>
                <w:lang w:val="en-US"/>
              </w:rPr>
            </w:pPr>
            <w:r>
              <w:rPr>
                <w:lang w:val="en-US"/>
              </w:rPr>
              <w:t>19</w:t>
            </w:r>
          </w:p>
        </w:tc>
      </w:tr>
      <w:tr w:rsidR="00503F49" w:rsidRPr="00716193" w:rsidTr="00010922">
        <w:trPr>
          <w:jc w:val="center"/>
        </w:trPr>
        <w:tc>
          <w:tcPr>
            <w:tcW w:w="8613" w:type="dxa"/>
            <w:vAlign w:val="center"/>
          </w:tcPr>
          <w:p w:rsidR="00503F49" w:rsidRPr="00716193" w:rsidRDefault="00E21856" w:rsidP="00010922">
            <w:pPr>
              <w:tabs>
                <w:tab w:val="left" w:pos="0"/>
              </w:tabs>
              <w:ind w:firstLine="577"/>
              <w:jc w:val="both"/>
            </w:pPr>
            <w:r w:rsidRPr="00716193">
              <w:rPr>
                <w:rFonts w:eastAsia="Calibri"/>
                <w:lang w:eastAsia="en-US"/>
              </w:rPr>
              <w:t xml:space="preserve">1.8. </w:t>
            </w:r>
            <w:r w:rsidRPr="00716193">
              <w:t>Възлагане на един от членовете на СД да представлява и управлява дружеството</w:t>
            </w:r>
          </w:p>
        </w:tc>
        <w:tc>
          <w:tcPr>
            <w:tcW w:w="1549" w:type="dxa"/>
          </w:tcPr>
          <w:p w:rsidR="00503F49" w:rsidRPr="00716193" w:rsidRDefault="00A449B8" w:rsidP="00010922">
            <w:pPr>
              <w:tabs>
                <w:tab w:val="left" w:pos="720"/>
              </w:tabs>
              <w:jc w:val="center"/>
              <w:rPr>
                <w:lang w:val="en-US"/>
              </w:rPr>
            </w:pPr>
            <w:r w:rsidRPr="00716193">
              <w:rPr>
                <w:lang w:val="en-US"/>
              </w:rPr>
              <w:t>2</w:t>
            </w:r>
            <w:r w:rsidR="008C482C">
              <w:rPr>
                <w:lang w:val="en-US"/>
              </w:rPr>
              <w:t>0</w:t>
            </w:r>
          </w:p>
        </w:tc>
      </w:tr>
      <w:tr w:rsidR="00503F49" w:rsidRPr="00716193" w:rsidTr="00010922">
        <w:trPr>
          <w:jc w:val="center"/>
        </w:trPr>
        <w:tc>
          <w:tcPr>
            <w:tcW w:w="8613" w:type="dxa"/>
            <w:vAlign w:val="center"/>
          </w:tcPr>
          <w:p w:rsidR="00503F49" w:rsidRPr="00716193" w:rsidRDefault="00E21856" w:rsidP="00010922">
            <w:pPr>
              <w:tabs>
                <w:tab w:val="left" w:pos="720"/>
              </w:tabs>
              <w:ind w:firstLine="577"/>
              <w:jc w:val="both"/>
            </w:pPr>
            <w:r w:rsidRPr="00716193">
              <w:t>1.9. Определяне структурата на управление и организация на дружеството</w:t>
            </w:r>
          </w:p>
        </w:tc>
        <w:tc>
          <w:tcPr>
            <w:tcW w:w="1549" w:type="dxa"/>
          </w:tcPr>
          <w:p w:rsidR="00503F49" w:rsidRPr="008C482C" w:rsidRDefault="00D465C2" w:rsidP="00010922">
            <w:pPr>
              <w:tabs>
                <w:tab w:val="left" w:pos="720"/>
              </w:tabs>
              <w:jc w:val="center"/>
              <w:rPr>
                <w:lang w:val="en-US"/>
              </w:rPr>
            </w:pPr>
            <w:r w:rsidRPr="00716193">
              <w:rPr>
                <w:lang w:val="en-US"/>
              </w:rPr>
              <w:t>2</w:t>
            </w:r>
            <w:r w:rsidR="008C482C">
              <w:rPr>
                <w:lang w:val="en-US"/>
              </w:rPr>
              <w:t>0</w:t>
            </w:r>
          </w:p>
        </w:tc>
      </w:tr>
      <w:tr w:rsidR="00503F49" w:rsidRPr="00716193" w:rsidTr="00010922">
        <w:trPr>
          <w:jc w:val="center"/>
        </w:trPr>
        <w:tc>
          <w:tcPr>
            <w:tcW w:w="8613" w:type="dxa"/>
            <w:vAlign w:val="center"/>
          </w:tcPr>
          <w:p w:rsidR="00503F49" w:rsidRPr="00716193" w:rsidRDefault="00E21856" w:rsidP="00010922">
            <w:pPr>
              <w:widowControl w:val="0"/>
              <w:tabs>
                <w:tab w:val="left" w:pos="0"/>
              </w:tabs>
              <w:ind w:firstLine="577"/>
              <w:jc w:val="both"/>
            </w:pPr>
            <w:r w:rsidRPr="00716193">
              <w:t xml:space="preserve">2. </w:t>
            </w:r>
            <w:r w:rsidRPr="00716193">
              <w:rPr>
                <w:bCs/>
              </w:rPr>
              <w:t>Анализ на финансовото състояние на дружеството през одитирания период</w:t>
            </w:r>
          </w:p>
        </w:tc>
        <w:tc>
          <w:tcPr>
            <w:tcW w:w="1549" w:type="dxa"/>
          </w:tcPr>
          <w:p w:rsidR="00503F49" w:rsidRPr="00716193" w:rsidRDefault="00A449B8" w:rsidP="00010922">
            <w:pPr>
              <w:tabs>
                <w:tab w:val="left" w:pos="720"/>
              </w:tabs>
              <w:jc w:val="center"/>
              <w:rPr>
                <w:lang w:val="en-US"/>
              </w:rPr>
            </w:pPr>
            <w:r w:rsidRPr="00716193">
              <w:rPr>
                <w:lang w:val="en-US"/>
              </w:rPr>
              <w:t>2</w:t>
            </w:r>
            <w:r w:rsidR="008C482C">
              <w:rPr>
                <w:lang w:val="en-US"/>
              </w:rPr>
              <w:t>2</w:t>
            </w:r>
          </w:p>
        </w:tc>
      </w:tr>
      <w:tr w:rsidR="00A449B8" w:rsidRPr="00716193" w:rsidTr="00010922">
        <w:trPr>
          <w:jc w:val="center"/>
        </w:trPr>
        <w:tc>
          <w:tcPr>
            <w:tcW w:w="8613" w:type="dxa"/>
            <w:vAlign w:val="center"/>
          </w:tcPr>
          <w:p w:rsidR="00A449B8" w:rsidRPr="00716193" w:rsidRDefault="00A449B8" w:rsidP="00010922">
            <w:pPr>
              <w:widowControl w:val="0"/>
              <w:tabs>
                <w:tab w:val="left" w:pos="0"/>
              </w:tabs>
              <w:ind w:firstLine="577"/>
              <w:jc w:val="both"/>
            </w:pPr>
            <w:r w:rsidRPr="00716193">
              <w:rPr>
                <w:spacing w:val="-2"/>
              </w:rPr>
              <w:t>2.1. Приходи и разходи</w:t>
            </w:r>
          </w:p>
        </w:tc>
        <w:tc>
          <w:tcPr>
            <w:tcW w:w="1549" w:type="dxa"/>
          </w:tcPr>
          <w:p w:rsidR="00A449B8" w:rsidRPr="00716193" w:rsidRDefault="00A449B8" w:rsidP="00010922">
            <w:pPr>
              <w:tabs>
                <w:tab w:val="left" w:pos="720"/>
              </w:tabs>
              <w:jc w:val="center"/>
              <w:rPr>
                <w:lang w:val="en-US"/>
              </w:rPr>
            </w:pPr>
            <w:r w:rsidRPr="00716193">
              <w:rPr>
                <w:lang w:val="en-US"/>
              </w:rPr>
              <w:t>2</w:t>
            </w:r>
            <w:r w:rsidR="008C482C">
              <w:rPr>
                <w:lang w:val="en-US"/>
              </w:rPr>
              <w:t>2</w:t>
            </w:r>
          </w:p>
        </w:tc>
      </w:tr>
      <w:tr w:rsidR="00503F49" w:rsidRPr="00716193" w:rsidTr="00010922">
        <w:trPr>
          <w:jc w:val="center"/>
        </w:trPr>
        <w:tc>
          <w:tcPr>
            <w:tcW w:w="8613" w:type="dxa"/>
            <w:vAlign w:val="center"/>
          </w:tcPr>
          <w:p w:rsidR="00503F49" w:rsidRPr="00716193" w:rsidRDefault="007063C9" w:rsidP="00010922">
            <w:pPr>
              <w:tabs>
                <w:tab w:val="left" w:pos="720"/>
              </w:tabs>
              <w:ind w:firstLine="577"/>
              <w:jc w:val="both"/>
            </w:pPr>
            <w:r w:rsidRPr="00716193">
              <w:rPr>
                <w:spacing w:val="-2"/>
              </w:rPr>
              <w:t>2.2. Ф</w:t>
            </w:r>
            <w:r w:rsidRPr="00716193">
              <w:rPr>
                <w:bCs/>
              </w:rPr>
              <w:t>инансов резултат</w:t>
            </w:r>
          </w:p>
        </w:tc>
        <w:tc>
          <w:tcPr>
            <w:tcW w:w="1549" w:type="dxa"/>
          </w:tcPr>
          <w:p w:rsidR="00503F49" w:rsidRPr="008C482C" w:rsidRDefault="00D465C2" w:rsidP="00010922">
            <w:pPr>
              <w:tabs>
                <w:tab w:val="left" w:pos="720"/>
              </w:tabs>
              <w:jc w:val="center"/>
              <w:rPr>
                <w:lang w:val="en-US"/>
              </w:rPr>
            </w:pPr>
            <w:r w:rsidRPr="00716193">
              <w:rPr>
                <w:lang w:val="en-US"/>
              </w:rPr>
              <w:t>2</w:t>
            </w:r>
            <w:r w:rsidR="008C482C">
              <w:rPr>
                <w:lang w:val="en-US"/>
              </w:rPr>
              <w:t>4</w:t>
            </w:r>
          </w:p>
        </w:tc>
      </w:tr>
      <w:tr w:rsidR="00503F49" w:rsidRPr="00716193" w:rsidTr="00010922">
        <w:trPr>
          <w:jc w:val="center"/>
        </w:trPr>
        <w:tc>
          <w:tcPr>
            <w:tcW w:w="8613" w:type="dxa"/>
            <w:vAlign w:val="center"/>
          </w:tcPr>
          <w:p w:rsidR="00503F49" w:rsidRPr="00716193" w:rsidRDefault="007063C9" w:rsidP="00010922">
            <w:pPr>
              <w:tabs>
                <w:tab w:val="left" w:pos="720"/>
              </w:tabs>
              <w:ind w:firstLine="577"/>
              <w:jc w:val="both"/>
            </w:pPr>
            <w:r w:rsidRPr="00716193">
              <w:rPr>
                <w:spacing w:val="-2"/>
              </w:rPr>
              <w:t>2.3. В</w:t>
            </w:r>
            <w:r w:rsidRPr="00716193">
              <w:rPr>
                <w:bCs/>
              </w:rPr>
              <w:t>земания и задължения</w:t>
            </w:r>
          </w:p>
        </w:tc>
        <w:tc>
          <w:tcPr>
            <w:tcW w:w="1549" w:type="dxa"/>
          </w:tcPr>
          <w:p w:rsidR="00503F49" w:rsidRPr="00716193" w:rsidRDefault="00A449B8" w:rsidP="00010922">
            <w:pPr>
              <w:tabs>
                <w:tab w:val="left" w:pos="720"/>
              </w:tabs>
              <w:jc w:val="center"/>
              <w:rPr>
                <w:lang w:val="en-US"/>
              </w:rPr>
            </w:pPr>
            <w:r w:rsidRPr="00716193">
              <w:rPr>
                <w:lang w:val="en-US"/>
              </w:rPr>
              <w:t>2</w:t>
            </w:r>
            <w:r w:rsidR="008C482C">
              <w:rPr>
                <w:lang w:val="en-US"/>
              </w:rPr>
              <w:t>4</w:t>
            </w:r>
          </w:p>
        </w:tc>
      </w:tr>
      <w:tr w:rsidR="007063C9" w:rsidRPr="00716193" w:rsidTr="00010922">
        <w:trPr>
          <w:jc w:val="center"/>
        </w:trPr>
        <w:tc>
          <w:tcPr>
            <w:tcW w:w="8613" w:type="dxa"/>
            <w:vAlign w:val="center"/>
          </w:tcPr>
          <w:p w:rsidR="007063C9" w:rsidRPr="00716193" w:rsidRDefault="000D53BF" w:rsidP="00010922">
            <w:pPr>
              <w:tabs>
                <w:tab w:val="left" w:pos="720"/>
              </w:tabs>
              <w:ind w:firstLine="577"/>
              <w:jc w:val="both"/>
            </w:pPr>
            <w:r w:rsidRPr="00716193">
              <w:rPr>
                <w:bCs/>
              </w:rPr>
              <w:t>2.4. Показатели, характеризиращи дейността</w:t>
            </w:r>
          </w:p>
        </w:tc>
        <w:tc>
          <w:tcPr>
            <w:tcW w:w="1549" w:type="dxa"/>
          </w:tcPr>
          <w:p w:rsidR="007063C9" w:rsidRPr="008C482C" w:rsidRDefault="00C04FDC" w:rsidP="00010922">
            <w:pPr>
              <w:tabs>
                <w:tab w:val="left" w:pos="720"/>
              </w:tabs>
              <w:jc w:val="center"/>
              <w:rPr>
                <w:lang w:val="en-US"/>
              </w:rPr>
            </w:pPr>
            <w:r w:rsidRPr="00716193">
              <w:rPr>
                <w:lang w:val="en-US"/>
              </w:rPr>
              <w:t>2</w:t>
            </w:r>
            <w:r w:rsidR="008C482C">
              <w:rPr>
                <w:lang w:val="en-US"/>
              </w:rPr>
              <w:t>6</w:t>
            </w:r>
          </w:p>
        </w:tc>
      </w:tr>
      <w:tr w:rsidR="007063C9" w:rsidRPr="00716193" w:rsidTr="00010922">
        <w:trPr>
          <w:jc w:val="center"/>
        </w:trPr>
        <w:tc>
          <w:tcPr>
            <w:tcW w:w="8613" w:type="dxa"/>
            <w:vAlign w:val="center"/>
          </w:tcPr>
          <w:p w:rsidR="007063C9" w:rsidRPr="00716193" w:rsidRDefault="000D53BF" w:rsidP="00010922">
            <w:pPr>
              <w:tabs>
                <w:tab w:val="left" w:pos="720"/>
              </w:tabs>
              <w:ind w:firstLine="577"/>
              <w:jc w:val="both"/>
            </w:pPr>
            <w:r w:rsidRPr="00716193">
              <w:rPr>
                <w:b/>
              </w:rPr>
              <w:t>II. Управление на имуществото</w:t>
            </w:r>
          </w:p>
        </w:tc>
        <w:tc>
          <w:tcPr>
            <w:tcW w:w="1549" w:type="dxa"/>
          </w:tcPr>
          <w:p w:rsidR="007063C9" w:rsidRPr="008C482C" w:rsidRDefault="008C482C" w:rsidP="00010922">
            <w:pPr>
              <w:tabs>
                <w:tab w:val="left" w:pos="720"/>
              </w:tabs>
              <w:jc w:val="center"/>
              <w:rPr>
                <w:lang w:val="en-US"/>
              </w:rPr>
            </w:pPr>
            <w:r>
              <w:rPr>
                <w:lang w:val="en-US"/>
              </w:rPr>
              <w:t>29</w:t>
            </w:r>
          </w:p>
        </w:tc>
      </w:tr>
      <w:tr w:rsidR="007063C9" w:rsidRPr="00716193" w:rsidTr="00010922">
        <w:trPr>
          <w:jc w:val="center"/>
        </w:trPr>
        <w:tc>
          <w:tcPr>
            <w:tcW w:w="8613" w:type="dxa"/>
            <w:vAlign w:val="center"/>
          </w:tcPr>
          <w:p w:rsidR="007063C9" w:rsidRPr="00716193" w:rsidRDefault="000D53BF" w:rsidP="00010922">
            <w:pPr>
              <w:tabs>
                <w:tab w:val="left" w:pos="-720"/>
              </w:tabs>
              <w:suppressAutoHyphens/>
              <w:ind w:firstLine="577"/>
              <w:jc w:val="both"/>
            </w:pPr>
            <w:r w:rsidRPr="00716193">
              <w:t>1. Планиране и провеждане на процедури за отдаване под наем, сключване на договори и контрол</w:t>
            </w:r>
          </w:p>
        </w:tc>
        <w:tc>
          <w:tcPr>
            <w:tcW w:w="1549" w:type="dxa"/>
          </w:tcPr>
          <w:p w:rsidR="007063C9" w:rsidRPr="008C482C" w:rsidRDefault="00C04FDC" w:rsidP="00010922">
            <w:pPr>
              <w:tabs>
                <w:tab w:val="left" w:pos="720"/>
              </w:tabs>
              <w:jc w:val="center"/>
              <w:rPr>
                <w:lang w:val="en-US"/>
              </w:rPr>
            </w:pPr>
            <w:r w:rsidRPr="00716193">
              <w:rPr>
                <w:lang w:val="en-US"/>
              </w:rPr>
              <w:t>3</w:t>
            </w:r>
            <w:r w:rsidR="008C482C">
              <w:rPr>
                <w:lang w:val="en-US"/>
              </w:rPr>
              <w:t>0</w:t>
            </w:r>
          </w:p>
        </w:tc>
      </w:tr>
      <w:tr w:rsidR="00F9312F" w:rsidRPr="00716193" w:rsidTr="00010922">
        <w:trPr>
          <w:jc w:val="center"/>
        </w:trPr>
        <w:tc>
          <w:tcPr>
            <w:tcW w:w="8613" w:type="dxa"/>
            <w:vAlign w:val="center"/>
          </w:tcPr>
          <w:p w:rsidR="00F9312F" w:rsidRPr="00716193" w:rsidRDefault="0084792C" w:rsidP="00010922">
            <w:pPr>
              <w:pStyle w:val="NoSpacing"/>
              <w:ind w:firstLine="577"/>
              <w:jc w:val="both"/>
            </w:pPr>
            <w:r w:rsidRPr="00716193">
              <w:t xml:space="preserve">1.1. </w:t>
            </w:r>
            <w:r w:rsidRPr="00716193">
              <w:rPr>
                <w:color w:val="000000"/>
              </w:rPr>
              <w:t xml:space="preserve">Сключване на договори за наем </w:t>
            </w:r>
            <w:r w:rsidR="00B118A4" w:rsidRPr="00716193">
              <w:rPr>
                <w:color w:val="000000"/>
              </w:rPr>
              <w:t xml:space="preserve">на ДМА </w:t>
            </w:r>
            <w:r w:rsidRPr="00716193">
              <w:rPr>
                <w:color w:val="000000"/>
              </w:rPr>
              <w:t xml:space="preserve">в резултат на провеждане на </w:t>
            </w:r>
            <w:r w:rsidRPr="00716193">
              <w:rPr>
                <w:color w:val="000000"/>
              </w:rPr>
              <w:lastRenderedPageBreak/>
              <w:t>търг с тайно наддаване</w:t>
            </w:r>
          </w:p>
        </w:tc>
        <w:tc>
          <w:tcPr>
            <w:tcW w:w="1549" w:type="dxa"/>
          </w:tcPr>
          <w:p w:rsidR="00F9312F" w:rsidRPr="008C482C" w:rsidRDefault="00C04FDC" w:rsidP="00010922">
            <w:pPr>
              <w:tabs>
                <w:tab w:val="left" w:pos="720"/>
              </w:tabs>
              <w:jc w:val="center"/>
              <w:rPr>
                <w:lang w:val="en-US"/>
              </w:rPr>
            </w:pPr>
            <w:r w:rsidRPr="00716193">
              <w:rPr>
                <w:lang w:val="en-US"/>
              </w:rPr>
              <w:lastRenderedPageBreak/>
              <w:t>3</w:t>
            </w:r>
            <w:r w:rsidR="008C482C">
              <w:rPr>
                <w:lang w:val="en-US"/>
              </w:rPr>
              <w:t>1</w:t>
            </w:r>
          </w:p>
        </w:tc>
      </w:tr>
      <w:tr w:rsidR="00F9312F" w:rsidRPr="00716193" w:rsidTr="00010922">
        <w:trPr>
          <w:jc w:val="center"/>
        </w:trPr>
        <w:tc>
          <w:tcPr>
            <w:tcW w:w="8613" w:type="dxa"/>
            <w:vAlign w:val="center"/>
          </w:tcPr>
          <w:p w:rsidR="00F9312F" w:rsidRPr="00716193" w:rsidRDefault="0084792C" w:rsidP="00010922">
            <w:pPr>
              <w:ind w:firstLine="577"/>
              <w:jc w:val="both"/>
            </w:pPr>
            <w:r w:rsidRPr="00716193">
              <w:lastRenderedPageBreak/>
              <w:t xml:space="preserve">1.2. </w:t>
            </w:r>
            <w:r w:rsidRPr="00716193">
              <w:rPr>
                <w:color w:val="000000"/>
              </w:rPr>
              <w:t xml:space="preserve">Сключване на договори за наем </w:t>
            </w:r>
            <w:r w:rsidR="00B118A4" w:rsidRPr="00716193">
              <w:rPr>
                <w:color w:val="000000"/>
              </w:rPr>
              <w:t xml:space="preserve">на ДМА </w:t>
            </w:r>
            <w:r w:rsidRPr="00716193">
              <w:rPr>
                <w:color w:val="000000"/>
              </w:rPr>
              <w:t>чрез пряко договаряне</w:t>
            </w:r>
          </w:p>
        </w:tc>
        <w:tc>
          <w:tcPr>
            <w:tcW w:w="1549" w:type="dxa"/>
          </w:tcPr>
          <w:p w:rsidR="00F9312F" w:rsidRPr="00716193" w:rsidRDefault="00C04FDC" w:rsidP="00010922">
            <w:pPr>
              <w:tabs>
                <w:tab w:val="left" w:pos="720"/>
              </w:tabs>
              <w:jc w:val="center"/>
              <w:rPr>
                <w:lang w:val="en-US"/>
              </w:rPr>
            </w:pPr>
            <w:r w:rsidRPr="00716193">
              <w:rPr>
                <w:lang w:val="en-US"/>
              </w:rPr>
              <w:t>3</w:t>
            </w:r>
            <w:r w:rsidR="008C482C">
              <w:rPr>
                <w:lang w:val="en-US"/>
              </w:rPr>
              <w:t>3</w:t>
            </w:r>
          </w:p>
        </w:tc>
      </w:tr>
      <w:tr w:rsidR="00F9312F" w:rsidRPr="00716193" w:rsidTr="00010922">
        <w:trPr>
          <w:jc w:val="center"/>
        </w:trPr>
        <w:tc>
          <w:tcPr>
            <w:tcW w:w="8613" w:type="dxa"/>
            <w:vAlign w:val="center"/>
          </w:tcPr>
          <w:p w:rsidR="00F9312F" w:rsidRPr="00716193" w:rsidRDefault="00B118A4" w:rsidP="00010922">
            <w:pPr>
              <w:pStyle w:val="ListParagraph"/>
              <w:ind w:left="0" w:firstLine="577"/>
              <w:jc w:val="both"/>
              <w:rPr>
                <w:rFonts w:ascii="Times New Roman" w:hAnsi="Times New Roman" w:cs="Times New Roman"/>
                <w:b/>
              </w:rPr>
            </w:pPr>
            <w:r w:rsidRPr="00716193">
              <w:rPr>
                <w:rFonts w:ascii="Times New Roman" w:hAnsi="Times New Roman" w:cs="Times New Roman"/>
                <w:lang w:val="bg-BG"/>
              </w:rPr>
              <w:t>1.3.</w:t>
            </w:r>
            <w:r w:rsidRPr="00716193">
              <w:rPr>
                <w:rFonts w:ascii="Times New Roman" w:hAnsi="Times New Roman" w:cs="Times New Roman"/>
                <w:b/>
                <w:lang w:val="bg-BG"/>
              </w:rPr>
              <w:t xml:space="preserve"> </w:t>
            </w:r>
            <w:r w:rsidRPr="00716193">
              <w:rPr>
                <w:rStyle w:val="Strong"/>
                <w:rFonts w:ascii="Times New Roman" w:hAnsi="Times New Roman" w:cs="Times New Roman"/>
                <w:b w:val="0"/>
                <w:lang w:val="bg-BG"/>
              </w:rPr>
              <w:t>Сключване на договори със служители за предоставяне под наем на жилища</w:t>
            </w:r>
            <w:r w:rsidRPr="00716193">
              <w:rPr>
                <w:rFonts w:ascii="Times New Roman" w:hAnsi="Times New Roman" w:cs="Times New Roman"/>
                <w:b/>
                <w:lang w:val="bg-BG"/>
              </w:rPr>
              <w:t xml:space="preserve"> </w:t>
            </w:r>
          </w:p>
        </w:tc>
        <w:tc>
          <w:tcPr>
            <w:tcW w:w="1549" w:type="dxa"/>
          </w:tcPr>
          <w:p w:rsidR="00F9312F" w:rsidRPr="008C482C" w:rsidRDefault="00C04FDC" w:rsidP="00010922">
            <w:pPr>
              <w:tabs>
                <w:tab w:val="left" w:pos="720"/>
              </w:tabs>
              <w:jc w:val="center"/>
              <w:rPr>
                <w:lang w:val="en-US"/>
              </w:rPr>
            </w:pPr>
            <w:r w:rsidRPr="00716193">
              <w:rPr>
                <w:lang w:val="en-US"/>
              </w:rPr>
              <w:t>3</w:t>
            </w:r>
            <w:r w:rsidR="008C482C">
              <w:rPr>
                <w:lang w:val="en-US"/>
              </w:rPr>
              <w:t>3</w:t>
            </w:r>
          </w:p>
        </w:tc>
      </w:tr>
      <w:tr w:rsidR="00F9312F" w:rsidRPr="00716193" w:rsidTr="00010922">
        <w:trPr>
          <w:jc w:val="center"/>
        </w:trPr>
        <w:tc>
          <w:tcPr>
            <w:tcW w:w="8613" w:type="dxa"/>
            <w:vAlign w:val="center"/>
          </w:tcPr>
          <w:p w:rsidR="00F9312F" w:rsidRPr="00716193" w:rsidRDefault="00B118A4" w:rsidP="00010922">
            <w:pPr>
              <w:pStyle w:val="NoSpacing"/>
              <w:ind w:firstLine="577"/>
              <w:jc w:val="both"/>
            </w:pPr>
            <w:r w:rsidRPr="00716193">
              <w:t xml:space="preserve">1.4. Сключване на договори за наем на ДМА </w:t>
            </w:r>
            <w:r w:rsidRPr="00716193">
              <w:rPr>
                <w:rStyle w:val="Strong"/>
                <w:b w:val="0"/>
              </w:rPr>
              <w:t>без спазване на реда за отдаване под наем по реда на ПРУПДТДДУК</w:t>
            </w:r>
          </w:p>
        </w:tc>
        <w:tc>
          <w:tcPr>
            <w:tcW w:w="1549" w:type="dxa"/>
          </w:tcPr>
          <w:p w:rsidR="00F9312F" w:rsidRPr="008C482C" w:rsidRDefault="00C04FDC" w:rsidP="00010922">
            <w:pPr>
              <w:tabs>
                <w:tab w:val="left" w:pos="720"/>
              </w:tabs>
              <w:jc w:val="center"/>
              <w:rPr>
                <w:lang w:val="en-US"/>
              </w:rPr>
            </w:pPr>
            <w:r w:rsidRPr="00716193">
              <w:rPr>
                <w:lang w:val="en-US"/>
              </w:rPr>
              <w:t>3</w:t>
            </w:r>
            <w:r w:rsidR="008C482C">
              <w:rPr>
                <w:lang w:val="en-US"/>
              </w:rPr>
              <w:t>4</w:t>
            </w:r>
          </w:p>
        </w:tc>
      </w:tr>
      <w:tr w:rsidR="007063C9" w:rsidRPr="00716193" w:rsidTr="00010922">
        <w:trPr>
          <w:jc w:val="center"/>
        </w:trPr>
        <w:tc>
          <w:tcPr>
            <w:tcW w:w="8613" w:type="dxa"/>
            <w:vAlign w:val="center"/>
          </w:tcPr>
          <w:p w:rsidR="007063C9" w:rsidRPr="00716193" w:rsidRDefault="000D53BF" w:rsidP="00010922">
            <w:pPr>
              <w:pStyle w:val="NoSpacing"/>
              <w:ind w:firstLine="577"/>
              <w:jc w:val="both"/>
            </w:pPr>
            <w:r w:rsidRPr="00716193">
              <w:rPr>
                <w:color w:val="000000"/>
              </w:rPr>
              <w:t>2. Приходи от наеми</w:t>
            </w:r>
          </w:p>
        </w:tc>
        <w:tc>
          <w:tcPr>
            <w:tcW w:w="1549" w:type="dxa"/>
          </w:tcPr>
          <w:p w:rsidR="007063C9" w:rsidRPr="008C482C" w:rsidRDefault="00D465C2" w:rsidP="00010922">
            <w:pPr>
              <w:tabs>
                <w:tab w:val="left" w:pos="720"/>
              </w:tabs>
              <w:jc w:val="center"/>
              <w:rPr>
                <w:lang w:val="en-US"/>
              </w:rPr>
            </w:pPr>
            <w:r w:rsidRPr="00716193">
              <w:rPr>
                <w:lang w:val="en-US"/>
              </w:rPr>
              <w:t>3</w:t>
            </w:r>
            <w:r w:rsidR="008C482C">
              <w:rPr>
                <w:lang w:val="en-US"/>
              </w:rPr>
              <w:t>6</w:t>
            </w:r>
          </w:p>
        </w:tc>
      </w:tr>
      <w:tr w:rsidR="007063C9" w:rsidRPr="00716193" w:rsidTr="00010922">
        <w:trPr>
          <w:jc w:val="center"/>
        </w:trPr>
        <w:tc>
          <w:tcPr>
            <w:tcW w:w="8613" w:type="dxa"/>
            <w:vAlign w:val="center"/>
          </w:tcPr>
          <w:p w:rsidR="007063C9" w:rsidRPr="00716193" w:rsidRDefault="00675EAF" w:rsidP="00010922">
            <w:pPr>
              <w:tabs>
                <w:tab w:val="left" w:pos="720"/>
              </w:tabs>
              <w:ind w:firstLine="577"/>
              <w:jc w:val="both"/>
            </w:pPr>
            <w:r w:rsidRPr="00716193">
              <w:rPr>
                <w:b/>
                <w:lang w:val="en-US"/>
              </w:rPr>
              <w:t>I</w:t>
            </w:r>
            <w:r w:rsidRPr="00716193">
              <w:rPr>
                <w:b/>
              </w:rPr>
              <w:t>ІІ. Управленски решения, свързани с възлагане на обществени поръчки</w:t>
            </w:r>
          </w:p>
        </w:tc>
        <w:tc>
          <w:tcPr>
            <w:tcW w:w="1549" w:type="dxa"/>
          </w:tcPr>
          <w:p w:rsidR="007063C9" w:rsidRPr="008C482C" w:rsidRDefault="008C482C" w:rsidP="00010922">
            <w:pPr>
              <w:tabs>
                <w:tab w:val="left" w:pos="720"/>
              </w:tabs>
              <w:jc w:val="center"/>
              <w:rPr>
                <w:lang w:val="en-US"/>
              </w:rPr>
            </w:pPr>
            <w:r>
              <w:t>3</w:t>
            </w:r>
            <w:r>
              <w:rPr>
                <w:lang w:val="en-US"/>
              </w:rPr>
              <w:t>7</w:t>
            </w:r>
          </w:p>
        </w:tc>
      </w:tr>
      <w:tr w:rsidR="007063C9" w:rsidRPr="00716193" w:rsidTr="00010922">
        <w:trPr>
          <w:jc w:val="center"/>
        </w:trPr>
        <w:tc>
          <w:tcPr>
            <w:tcW w:w="8613" w:type="dxa"/>
            <w:vAlign w:val="center"/>
          </w:tcPr>
          <w:p w:rsidR="007063C9" w:rsidRPr="00716193" w:rsidRDefault="00916071" w:rsidP="00010922">
            <w:pPr>
              <w:tabs>
                <w:tab w:val="right" w:pos="8982"/>
              </w:tabs>
              <w:ind w:firstLine="577"/>
              <w:jc w:val="both"/>
            </w:pPr>
            <w:r w:rsidRPr="00716193">
              <w:t xml:space="preserve">1. Обща информация </w:t>
            </w:r>
          </w:p>
        </w:tc>
        <w:tc>
          <w:tcPr>
            <w:tcW w:w="1549" w:type="dxa"/>
          </w:tcPr>
          <w:p w:rsidR="007063C9" w:rsidRPr="008C482C" w:rsidRDefault="008C482C" w:rsidP="00010922">
            <w:pPr>
              <w:tabs>
                <w:tab w:val="left" w:pos="720"/>
              </w:tabs>
              <w:jc w:val="center"/>
              <w:rPr>
                <w:lang w:val="en-US"/>
              </w:rPr>
            </w:pPr>
            <w:r>
              <w:t>3</w:t>
            </w:r>
            <w:r>
              <w:rPr>
                <w:lang w:val="en-US"/>
              </w:rPr>
              <w:t>7</w:t>
            </w:r>
          </w:p>
        </w:tc>
      </w:tr>
      <w:tr w:rsidR="007063C9" w:rsidRPr="00716193" w:rsidTr="00010922">
        <w:trPr>
          <w:jc w:val="center"/>
        </w:trPr>
        <w:tc>
          <w:tcPr>
            <w:tcW w:w="8613" w:type="dxa"/>
            <w:vAlign w:val="center"/>
          </w:tcPr>
          <w:p w:rsidR="007063C9" w:rsidRPr="00716193" w:rsidRDefault="00916071" w:rsidP="00010922">
            <w:pPr>
              <w:tabs>
                <w:tab w:val="left" w:pos="720"/>
              </w:tabs>
              <w:ind w:firstLine="577"/>
              <w:jc w:val="both"/>
            </w:pPr>
            <w:r w:rsidRPr="00716193">
              <w:t>2. Вътрешни актове</w:t>
            </w:r>
          </w:p>
        </w:tc>
        <w:tc>
          <w:tcPr>
            <w:tcW w:w="1549" w:type="dxa"/>
          </w:tcPr>
          <w:p w:rsidR="007063C9" w:rsidRPr="008C482C" w:rsidRDefault="008C482C" w:rsidP="00010922">
            <w:pPr>
              <w:tabs>
                <w:tab w:val="left" w:pos="720"/>
              </w:tabs>
              <w:jc w:val="center"/>
              <w:rPr>
                <w:lang w:val="en-US"/>
              </w:rPr>
            </w:pPr>
            <w:r>
              <w:rPr>
                <w:lang w:val="en-US"/>
              </w:rPr>
              <w:t>37</w:t>
            </w:r>
          </w:p>
        </w:tc>
      </w:tr>
      <w:tr w:rsidR="00675EAF" w:rsidRPr="00716193" w:rsidTr="00010922">
        <w:trPr>
          <w:jc w:val="center"/>
        </w:trPr>
        <w:tc>
          <w:tcPr>
            <w:tcW w:w="8613" w:type="dxa"/>
            <w:vAlign w:val="center"/>
          </w:tcPr>
          <w:p w:rsidR="00675EAF" w:rsidRPr="00716193" w:rsidRDefault="00916071" w:rsidP="00010922">
            <w:pPr>
              <w:ind w:firstLine="577"/>
              <w:jc w:val="both"/>
            </w:pPr>
            <w:r w:rsidRPr="00716193">
              <w:t xml:space="preserve">3. Проведени процедури по реда на ЗОП </w:t>
            </w:r>
          </w:p>
        </w:tc>
        <w:tc>
          <w:tcPr>
            <w:tcW w:w="1549" w:type="dxa"/>
          </w:tcPr>
          <w:p w:rsidR="00675EAF" w:rsidRPr="008C482C" w:rsidRDefault="00C04FDC" w:rsidP="00010922">
            <w:pPr>
              <w:tabs>
                <w:tab w:val="left" w:pos="720"/>
              </w:tabs>
              <w:jc w:val="center"/>
              <w:rPr>
                <w:lang w:val="en-US"/>
              </w:rPr>
            </w:pPr>
            <w:r w:rsidRPr="00716193">
              <w:rPr>
                <w:lang w:val="en-US"/>
              </w:rPr>
              <w:t>4</w:t>
            </w:r>
            <w:r w:rsidR="008C482C">
              <w:rPr>
                <w:lang w:val="en-US"/>
              </w:rPr>
              <w:t>1</w:t>
            </w:r>
          </w:p>
        </w:tc>
      </w:tr>
      <w:tr w:rsidR="007063C9" w:rsidRPr="00716193" w:rsidTr="00010922">
        <w:trPr>
          <w:jc w:val="center"/>
        </w:trPr>
        <w:tc>
          <w:tcPr>
            <w:tcW w:w="8613" w:type="dxa"/>
            <w:vAlign w:val="center"/>
          </w:tcPr>
          <w:p w:rsidR="007063C9" w:rsidRPr="00716193" w:rsidRDefault="00B10B33" w:rsidP="00010922">
            <w:pPr>
              <w:ind w:firstLine="577"/>
              <w:jc w:val="both"/>
            </w:pPr>
            <w:r w:rsidRPr="00716193">
              <w:t>4. Възлагане на обществени поръчки чрез публична покана</w:t>
            </w:r>
          </w:p>
        </w:tc>
        <w:tc>
          <w:tcPr>
            <w:tcW w:w="1549" w:type="dxa"/>
          </w:tcPr>
          <w:p w:rsidR="007063C9" w:rsidRPr="008C482C" w:rsidRDefault="00C04FDC" w:rsidP="00010922">
            <w:pPr>
              <w:tabs>
                <w:tab w:val="left" w:pos="720"/>
              </w:tabs>
              <w:jc w:val="center"/>
              <w:rPr>
                <w:lang w:val="en-US"/>
              </w:rPr>
            </w:pPr>
            <w:r w:rsidRPr="00716193">
              <w:rPr>
                <w:lang w:val="en-US"/>
              </w:rPr>
              <w:t>4</w:t>
            </w:r>
            <w:r w:rsidR="008C482C">
              <w:rPr>
                <w:lang w:val="en-US"/>
              </w:rPr>
              <w:t>4</w:t>
            </w:r>
          </w:p>
        </w:tc>
      </w:tr>
      <w:tr w:rsidR="00675EAF" w:rsidRPr="00716193" w:rsidTr="00010922">
        <w:trPr>
          <w:jc w:val="center"/>
        </w:trPr>
        <w:tc>
          <w:tcPr>
            <w:tcW w:w="8613" w:type="dxa"/>
            <w:vAlign w:val="center"/>
          </w:tcPr>
          <w:p w:rsidR="00675EAF" w:rsidRPr="00716193" w:rsidRDefault="00B10B33" w:rsidP="00010922">
            <w:pPr>
              <w:tabs>
                <w:tab w:val="left" w:pos="720"/>
              </w:tabs>
              <w:ind w:firstLine="577"/>
              <w:jc w:val="both"/>
            </w:pPr>
            <w:r w:rsidRPr="00716193">
              <w:t>5. Непроведени  обществени поръчки</w:t>
            </w:r>
          </w:p>
        </w:tc>
        <w:tc>
          <w:tcPr>
            <w:tcW w:w="1549" w:type="dxa"/>
          </w:tcPr>
          <w:p w:rsidR="00675EAF" w:rsidRPr="008C482C" w:rsidRDefault="00D465C2" w:rsidP="00010922">
            <w:pPr>
              <w:tabs>
                <w:tab w:val="left" w:pos="720"/>
              </w:tabs>
              <w:jc w:val="center"/>
              <w:rPr>
                <w:lang w:val="en-US"/>
              </w:rPr>
            </w:pPr>
            <w:r w:rsidRPr="00716193">
              <w:rPr>
                <w:lang w:val="en-US"/>
              </w:rPr>
              <w:t>4</w:t>
            </w:r>
            <w:r w:rsidR="008C482C">
              <w:rPr>
                <w:lang w:val="en-US"/>
              </w:rPr>
              <w:t>5</w:t>
            </w:r>
          </w:p>
        </w:tc>
      </w:tr>
      <w:tr w:rsidR="00675EAF" w:rsidRPr="00716193" w:rsidTr="00010922">
        <w:trPr>
          <w:jc w:val="center"/>
        </w:trPr>
        <w:tc>
          <w:tcPr>
            <w:tcW w:w="8613" w:type="dxa"/>
            <w:vAlign w:val="center"/>
          </w:tcPr>
          <w:p w:rsidR="00675EAF" w:rsidRPr="00716193" w:rsidRDefault="00B10B33" w:rsidP="00010922">
            <w:pPr>
              <w:tabs>
                <w:tab w:val="left" w:pos="720"/>
              </w:tabs>
              <w:ind w:firstLine="577"/>
              <w:jc w:val="both"/>
            </w:pPr>
            <w:r w:rsidRPr="00716193">
              <w:rPr>
                <w:b/>
                <w:color w:val="000000"/>
              </w:rPr>
              <w:t>Част четвърта Заключение</w:t>
            </w:r>
          </w:p>
        </w:tc>
        <w:tc>
          <w:tcPr>
            <w:tcW w:w="1549" w:type="dxa"/>
          </w:tcPr>
          <w:p w:rsidR="00675EAF" w:rsidRPr="008C482C" w:rsidRDefault="008C482C" w:rsidP="00010922">
            <w:pPr>
              <w:tabs>
                <w:tab w:val="left" w:pos="720"/>
              </w:tabs>
              <w:jc w:val="center"/>
              <w:rPr>
                <w:lang w:val="en-US"/>
              </w:rPr>
            </w:pPr>
            <w:r>
              <w:rPr>
                <w:lang w:val="en-US"/>
              </w:rPr>
              <w:t>49</w:t>
            </w:r>
          </w:p>
        </w:tc>
      </w:tr>
      <w:tr w:rsidR="007063C9" w:rsidRPr="00716193" w:rsidTr="00010922">
        <w:trPr>
          <w:jc w:val="center"/>
        </w:trPr>
        <w:tc>
          <w:tcPr>
            <w:tcW w:w="8613" w:type="dxa"/>
            <w:vAlign w:val="center"/>
          </w:tcPr>
          <w:p w:rsidR="007063C9" w:rsidRPr="00716193" w:rsidRDefault="0001300F" w:rsidP="00010922">
            <w:pPr>
              <w:tabs>
                <w:tab w:val="left" w:pos="720"/>
              </w:tabs>
              <w:ind w:firstLine="577"/>
              <w:jc w:val="both"/>
            </w:pPr>
            <w:r w:rsidRPr="00716193">
              <w:rPr>
                <w:b/>
                <w:color w:val="000000"/>
              </w:rPr>
              <w:t>Част пета Препоръки</w:t>
            </w:r>
          </w:p>
        </w:tc>
        <w:tc>
          <w:tcPr>
            <w:tcW w:w="1549" w:type="dxa"/>
          </w:tcPr>
          <w:p w:rsidR="007063C9" w:rsidRPr="008C482C" w:rsidRDefault="00C04FDC" w:rsidP="00010922">
            <w:pPr>
              <w:tabs>
                <w:tab w:val="left" w:pos="720"/>
              </w:tabs>
              <w:jc w:val="center"/>
              <w:rPr>
                <w:lang w:val="en-US"/>
              </w:rPr>
            </w:pPr>
            <w:r w:rsidRPr="00716193">
              <w:rPr>
                <w:lang w:val="en-US"/>
              </w:rPr>
              <w:t>5</w:t>
            </w:r>
            <w:r w:rsidR="008C482C">
              <w:rPr>
                <w:lang w:val="en-US"/>
              </w:rPr>
              <w:t>1</w:t>
            </w:r>
          </w:p>
        </w:tc>
      </w:tr>
      <w:tr w:rsidR="00B10B33" w:rsidRPr="00716193" w:rsidTr="00010922">
        <w:trPr>
          <w:jc w:val="center"/>
        </w:trPr>
        <w:tc>
          <w:tcPr>
            <w:tcW w:w="8613" w:type="dxa"/>
            <w:vAlign w:val="center"/>
          </w:tcPr>
          <w:p w:rsidR="00B10B33" w:rsidRPr="00716193" w:rsidRDefault="0001300F" w:rsidP="00010922">
            <w:pPr>
              <w:tabs>
                <w:tab w:val="left" w:pos="720"/>
              </w:tabs>
              <w:ind w:firstLine="577"/>
              <w:jc w:val="both"/>
            </w:pPr>
            <w:r w:rsidRPr="00716193">
              <w:rPr>
                <w:b/>
                <w:color w:val="000000"/>
              </w:rPr>
              <w:t>Част шеста Отговори на одитираната организация</w:t>
            </w:r>
          </w:p>
        </w:tc>
        <w:tc>
          <w:tcPr>
            <w:tcW w:w="1549" w:type="dxa"/>
          </w:tcPr>
          <w:p w:rsidR="00B10B33" w:rsidRPr="008C482C" w:rsidRDefault="00C04FDC" w:rsidP="00010922">
            <w:pPr>
              <w:tabs>
                <w:tab w:val="left" w:pos="720"/>
              </w:tabs>
              <w:jc w:val="center"/>
              <w:rPr>
                <w:lang w:val="en-US"/>
              </w:rPr>
            </w:pPr>
            <w:r w:rsidRPr="00716193">
              <w:rPr>
                <w:lang w:val="en-US"/>
              </w:rPr>
              <w:t>5</w:t>
            </w:r>
            <w:r w:rsidR="008C482C">
              <w:rPr>
                <w:lang w:val="en-US"/>
              </w:rPr>
              <w:t>2</w:t>
            </w:r>
          </w:p>
        </w:tc>
      </w:tr>
      <w:tr w:rsidR="009909AE" w:rsidRPr="00716193" w:rsidTr="00010922">
        <w:trPr>
          <w:jc w:val="center"/>
        </w:trPr>
        <w:tc>
          <w:tcPr>
            <w:tcW w:w="8613" w:type="dxa"/>
            <w:vAlign w:val="center"/>
          </w:tcPr>
          <w:p w:rsidR="009909AE" w:rsidRPr="00716193" w:rsidRDefault="009909AE" w:rsidP="00010922">
            <w:pPr>
              <w:tabs>
                <w:tab w:val="left" w:pos="720"/>
              </w:tabs>
              <w:ind w:firstLine="577"/>
              <w:jc w:val="both"/>
              <w:rPr>
                <w:b/>
                <w:color w:val="000000"/>
              </w:rPr>
            </w:pPr>
            <w:r w:rsidRPr="00716193">
              <w:rPr>
                <w:b/>
                <w:bCs/>
              </w:rPr>
              <w:t>ОПИС НА ОДИТНИТЕ ДОКАЗАТЕЛСТВА</w:t>
            </w:r>
          </w:p>
        </w:tc>
        <w:tc>
          <w:tcPr>
            <w:tcW w:w="1549" w:type="dxa"/>
          </w:tcPr>
          <w:p w:rsidR="009909AE" w:rsidRPr="008C482C" w:rsidRDefault="008C482C" w:rsidP="00010922">
            <w:pPr>
              <w:tabs>
                <w:tab w:val="left" w:pos="720"/>
              </w:tabs>
              <w:jc w:val="center"/>
              <w:rPr>
                <w:lang w:val="en-US"/>
              </w:rPr>
            </w:pPr>
            <w:r>
              <w:t>5</w:t>
            </w:r>
            <w:r>
              <w:rPr>
                <w:lang w:val="en-US"/>
              </w:rPr>
              <w:t>3</w:t>
            </w:r>
          </w:p>
        </w:tc>
      </w:tr>
    </w:tbl>
    <w:p w:rsidR="00010922" w:rsidRPr="00716193" w:rsidRDefault="00010922" w:rsidP="00C67CD3">
      <w:pPr>
        <w:tabs>
          <w:tab w:val="left" w:pos="0"/>
        </w:tabs>
        <w:jc w:val="both"/>
        <w:rPr>
          <w:b/>
          <w:bCs/>
        </w:rPr>
      </w:pPr>
    </w:p>
    <w:p w:rsidR="00FB3DDD" w:rsidRPr="00716193" w:rsidRDefault="00D465C2" w:rsidP="003C736D">
      <w:pPr>
        <w:ind w:left="142" w:firstLine="474"/>
        <w:jc w:val="center"/>
        <w:rPr>
          <w:b/>
        </w:rPr>
      </w:pPr>
      <w:r w:rsidRPr="00716193">
        <w:rPr>
          <w:b/>
        </w:rPr>
        <w:tab/>
      </w:r>
      <w:r w:rsidRPr="00716193">
        <w:rPr>
          <w:b/>
        </w:rPr>
        <w:tab/>
      </w:r>
      <w:r w:rsidRPr="00716193">
        <w:rPr>
          <w:b/>
        </w:rPr>
        <w:tab/>
        <w:t xml:space="preserve">         </w:t>
      </w:r>
      <w:r w:rsidR="00010922" w:rsidRPr="00716193">
        <w:rPr>
          <w:b/>
        </w:rPr>
        <w:t xml:space="preserve">               </w:t>
      </w:r>
      <w:r w:rsidR="004873EB" w:rsidRPr="00716193">
        <w:rPr>
          <w:b/>
        </w:rPr>
        <w:t xml:space="preserve">  </w:t>
      </w:r>
      <w:r w:rsidR="00FB3DDD" w:rsidRPr="00716193">
        <w:rPr>
          <w:b/>
        </w:rPr>
        <w:br w:type="page"/>
      </w:r>
      <w:r w:rsidR="00FB3DDD" w:rsidRPr="00716193">
        <w:rPr>
          <w:b/>
        </w:rPr>
        <w:lastRenderedPageBreak/>
        <w:t>СПИСЪК НА СЪКРАЩЕНИЯТА</w:t>
      </w:r>
    </w:p>
    <w:p w:rsidR="00C67CD3" w:rsidRPr="00716193" w:rsidRDefault="00C67CD3" w:rsidP="00C67CD3">
      <w:pPr>
        <w:tabs>
          <w:tab w:val="left" w:pos="0"/>
        </w:tabs>
        <w:jc w:val="both"/>
        <w:rPr>
          <w:b/>
        </w:rPr>
      </w:pPr>
    </w:p>
    <w:tbl>
      <w:tblPr>
        <w:tblW w:w="0" w:type="auto"/>
        <w:jc w:val="center"/>
        <w:tblLook w:val="01E0" w:firstRow="1" w:lastRow="1" w:firstColumn="1" w:lastColumn="1" w:noHBand="0" w:noVBand="0"/>
      </w:tblPr>
      <w:tblGrid>
        <w:gridCol w:w="2437"/>
        <w:gridCol w:w="7139"/>
      </w:tblGrid>
      <w:tr w:rsidR="00FB3DDD" w:rsidRPr="00716193" w:rsidTr="00BD5BF6">
        <w:trPr>
          <w:jc w:val="center"/>
        </w:trPr>
        <w:tc>
          <w:tcPr>
            <w:tcW w:w="2437" w:type="dxa"/>
          </w:tcPr>
          <w:p w:rsidR="00FB3DDD" w:rsidRPr="003C736D" w:rsidRDefault="006B75E6" w:rsidP="008354E0">
            <w:pPr>
              <w:tabs>
                <w:tab w:val="left" w:pos="720"/>
              </w:tabs>
              <w:jc w:val="both"/>
              <w:rPr>
                <w:b/>
              </w:rPr>
            </w:pPr>
            <w:r w:rsidRPr="003C736D">
              <w:rPr>
                <w:b/>
              </w:rPr>
              <w:t>АВ</w:t>
            </w:r>
          </w:p>
        </w:tc>
        <w:tc>
          <w:tcPr>
            <w:tcW w:w="7139" w:type="dxa"/>
          </w:tcPr>
          <w:p w:rsidR="00FB3DDD" w:rsidRPr="00716193" w:rsidRDefault="006B75E6" w:rsidP="008354E0">
            <w:pPr>
              <w:tabs>
                <w:tab w:val="left" w:pos="720"/>
              </w:tabs>
              <w:jc w:val="both"/>
            </w:pPr>
            <w:r w:rsidRPr="00716193">
              <w:t>Агенция по вписванията</w:t>
            </w:r>
          </w:p>
        </w:tc>
      </w:tr>
      <w:tr w:rsidR="00BD5BF6" w:rsidRPr="00716193" w:rsidTr="00BD5BF6">
        <w:trPr>
          <w:jc w:val="center"/>
        </w:trPr>
        <w:tc>
          <w:tcPr>
            <w:tcW w:w="2437" w:type="dxa"/>
          </w:tcPr>
          <w:p w:rsidR="00BD5BF6" w:rsidRPr="003C736D" w:rsidRDefault="006B75E6" w:rsidP="008354E0">
            <w:pPr>
              <w:tabs>
                <w:tab w:val="left" w:pos="720"/>
              </w:tabs>
              <w:jc w:val="both"/>
              <w:rPr>
                <w:b/>
              </w:rPr>
            </w:pPr>
            <w:r w:rsidRPr="003C736D">
              <w:rPr>
                <w:b/>
              </w:rPr>
              <w:t>АОП</w:t>
            </w:r>
          </w:p>
        </w:tc>
        <w:tc>
          <w:tcPr>
            <w:tcW w:w="7139" w:type="dxa"/>
          </w:tcPr>
          <w:p w:rsidR="00BD5BF6" w:rsidRPr="00716193" w:rsidRDefault="006B75E6" w:rsidP="008354E0">
            <w:pPr>
              <w:tabs>
                <w:tab w:val="left" w:pos="720"/>
              </w:tabs>
              <w:jc w:val="both"/>
            </w:pPr>
            <w:r w:rsidRPr="00716193">
              <w:t>Агенция по обществени поръчки</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ВСК</w:t>
            </w:r>
          </w:p>
        </w:tc>
        <w:tc>
          <w:tcPr>
            <w:tcW w:w="7139" w:type="dxa"/>
          </w:tcPr>
          <w:p w:rsidR="00E842FE" w:rsidRPr="00716193" w:rsidRDefault="00E842FE" w:rsidP="008354E0">
            <w:pPr>
              <w:tabs>
                <w:tab w:val="left" w:pos="720"/>
              </w:tabs>
              <w:jc w:val="both"/>
            </w:pPr>
            <w:r w:rsidRPr="00716193">
              <w:t>Високопланински спортен комплекс</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ГФО</w:t>
            </w:r>
          </w:p>
        </w:tc>
        <w:tc>
          <w:tcPr>
            <w:tcW w:w="7139" w:type="dxa"/>
          </w:tcPr>
          <w:p w:rsidR="00E842FE" w:rsidRPr="00716193" w:rsidRDefault="00E842FE" w:rsidP="008354E0">
            <w:pPr>
              <w:tabs>
                <w:tab w:val="left" w:pos="720"/>
              </w:tabs>
              <w:jc w:val="both"/>
            </w:pPr>
            <w:r w:rsidRPr="00716193">
              <w:t>Годишен финансов отчет</w:t>
            </w:r>
          </w:p>
        </w:tc>
      </w:tr>
      <w:tr w:rsidR="00C93754" w:rsidRPr="00716193" w:rsidTr="00BD5BF6">
        <w:trPr>
          <w:jc w:val="center"/>
        </w:trPr>
        <w:tc>
          <w:tcPr>
            <w:tcW w:w="2437" w:type="dxa"/>
          </w:tcPr>
          <w:p w:rsidR="00C93754" w:rsidRPr="003C736D" w:rsidRDefault="00C93754" w:rsidP="008354E0">
            <w:pPr>
              <w:tabs>
                <w:tab w:val="left" w:pos="720"/>
              </w:tabs>
              <w:jc w:val="both"/>
              <w:rPr>
                <w:b/>
              </w:rPr>
            </w:pPr>
            <w:r w:rsidRPr="003C736D">
              <w:rPr>
                <w:b/>
              </w:rPr>
              <w:t>ДДС</w:t>
            </w:r>
          </w:p>
        </w:tc>
        <w:tc>
          <w:tcPr>
            <w:tcW w:w="7139" w:type="dxa"/>
          </w:tcPr>
          <w:p w:rsidR="00C93754" w:rsidRPr="00716193" w:rsidRDefault="00C93754" w:rsidP="008354E0">
            <w:pPr>
              <w:tabs>
                <w:tab w:val="left" w:pos="720"/>
              </w:tabs>
              <w:jc w:val="both"/>
            </w:pPr>
            <w:r w:rsidRPr="00716193">
              <w:t>Данък върху добавената стойност</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ДМА</w:t>
            </w:r>
          </w:p>
        </w:tc>
        <w:tc>
          <w:tcPr>
            <w:tcW w:w="7139" w:type="dxa"/>
          </w:tcPr>
          <w:p w:rsidR="00E842FE" w:rsidRPr="00716193" w:rsidRDefault="00E842FE" w:rsidP="008354E0">
            <w:pPr>
              <w:tabs>
                <w:tab w:val="left" w:pos="720"/>
              </w:tabs>
              <w:jc w:val="both"/>
            </w:pPr>
            <w:r w:rsidRPr="00716193">
              <w:t>Дълготрайни материални активи</w:t>
            </w:r>
          </w:p>
        </w:tc>
      </w:tr>
      <w:tr w:rsidR="00180FDF" w:rsidRPr="00716193" w:rsidTr="00BD5BF6">
        <w:trPr>
          <w:jc w:val="center"/>
        </w:trPr>
        <w:tc>
          <w:tcPr>
            <w:tcW w:w="2437" w:type="dxa"/>
          </w:tcPr>
          <w:p w:rsidR="00180FDF" w:rsidRPr="003C736D" w:rsidRDefault="00180FDF" w:rsidP="008354E0">
            <w:pPr>
              <w:tabs>
                <w:tab w:val="left" w:pos="720"/>
              </w:tabs>
              <w:jc w:val="both"/>
              <w:rPr>
                <w:b/>
              </w:rPr>
            </w:pPr>
            <w:r w:rsidRPr="003C736D">
              <w:rPr>
                <w:b/>
              </w:rPr>
              <w:t>ДР</w:t>
            </w:r>
          </w:p>
        </w:tc>
        <w:tc>
          <w:tcPr>
            <w:tcW w:w="7139" w:type="dxa"/>
          </w:tcPr>
          <w:p w:rsidR="00180FDF" w:rsidRPr="00716193" w:rsidRDefault="00180FDF" w:rsidP="008354E0">
            <w:pPr>
              <w:tabs>
                <w:tab w:val="left" w:pos="720"/>
              </w:tabs>
              <w:jc w:val="both"/>
            </w:pPr>
            <w:r w:rsidRPr="00716193">
              <w:t>Допълнителни разпоредби</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ЕАД</w:t>
            </w:r>
          </w:p>
        </w:tc>
        <w:tc>
          <w:tcPr>
            <w:tcW w:w="7139" w:type="dxa"/>
          </w:tcPr>
          <w:p w:rsidR="00E842FE" w:rsidRPr="00716193" w:rsidRDefault="00E842FE" w:rsidP="008354E0">
            <w:pPr>
              <w:tabs>
                <w:tab w:val="left" w:pos="720"/>
              </w:tabs>
              <w:jc w:val="both"/>
            </w:pPr>
            <w:r w:rsidRPr="00716193">
              <w:t>Еднолично акционерно дружество</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ЗДДС</w:t>
            </w:r>
          </w:p>
        </w:tc>
        <w:tc>
          <w:tcPr>
            <w:tcW w:w="7139" w:type="dxa"/>
          </w:tcPr>
          <w:p w:rsidR="00E842FE" w:rsidRPr="00716193" w:rsidRDefault="00E842FE" w:rsidP="008354E0">
            <w:pPr>
              <w:tabs>
                <w:tab w:val="left" w:pos="720"/>
              </w:tabs>
              <w:jc w:val="both"/>
            </w:pPr>
            <w:r w:rsidRPr="00716193">
              <w:t>Закон за данък върху добавената стойност</w:t>
            </w:r>
          </w:p>
        </w:tc>
      </w:tr>
      <w:tr w:rsidR="004B569D" w:rsidRPr="00716193" w:rsidTr="00BD5BF6">
        <w:trPr>
          <w:jc w:val="center"/>
        </w:trPr>
        <w:tc>
          <w:tcPr>
            <w:tcW w:w="2437" w:type="dxa"/>
          </w:tcPr>
          <w:p w:rsidR="004B569D" w:rsidRPr="003C736D" w:rsidRDefault="004B569D" w:rsidP="008354E0">
            <w:pPr>
              <w:tabs>
                <w:tab w:val="left" w:pos="720"/>
              </w:tabs>
              <w:jc w:val="both"/>
              <w:rPr>
                <w:b/>
              </w:rPr>
            </w:pPr>
            <w:r w:rsidRPr="003C736D">
              <w:rPr>
                <w:b/>
              </w:rPr>
              <w:t>ЗЗД</w:t>
            </w:r>
          </w:p>
        </w:tc>
        <w:tc>
          <w:tcPr>
            <w:tcW w:w="7139" w:type="dxa"/>
          </w:tcPr>
          <w:p w:rsidR="004B569D" w:rsidRPr="00716193" w:rsidRDefault="004B569D" w:rsidP="008354E0">
            <w:pPr>
              <w:tabs>
                <w:tab w:val="left" w:pos="720"/>
              </w:tabs>
              <w:jc w:val="both"/>
            </w:pPr>
            <w:r w:rsidRPr="00716193">
              <w:t>Закон за задълженията и договорите</w:t>
            </w:r>
          </w:p>
        </w:tc>
      </w:tr>
      <w:tr w:rsidR="00C30A76" w:rsidRPr="00716193" w:rsidTr="00BD5BF6">
        <w:trPr>
          <w:jc w:val="center"/>
        </w:trPr>
        <w:tc>
          <w:tcPr>
            <w:tcW w:w="2437" w:type="dxa"/>
          </w:tcPr>
          <w:p w:rsidR="00C30A76" w:rsidRPr="003C736D" w:rsidRDefault="00C30A76" w:rsidP="008354E0">
            <w:pPr>
              <w:tabs>
                <w:tab w:val="left" w:pos="720"/>
              </w:tabs>
              <w:jc w:val="both"/>
              <w:rPr>
                <w:b/>
              </w:rPr>
            </w:pPr>
            <w:r w:rsidRPr="003C736D">
              <w:rPr>
                <w:b/>
              </w:rPr>
              <w:t>ЗИД</w:t>
            </w:r>
          </w:p>
        </w:tc>
        <w:tc>
          <w:tcPr>
            <w:tcW w:w="7139" w:type="dxa"/>
          </w:tcPr>
          <w:p w:rsidR="00C30A76" w:rsidRPr="00716193" w:rsidRDefault="00C30A76" w:rsidP="008354E0">
            <w:pPr>
              <w:tabs>
                <w:tab w:val="left" w:pos="720"/>
              </w:tabs>
              <w:jc w:val="both"/>
            </w:pPr>
            <w:r w:rsidRPr="00716193">
              <w:t>Закон за изменение и допълнение</w:t>
            </w:r>
          </w:p>
        </w:tc>
      </w:tr>
      <w:tr w:rsidR="004B569D" w:rsidRPr="00716193" w:rsidTr="00BD5BF6">
        <w:trPr>
          <w:jc w:val="center"/>
        </w:trPr>
        <w:tc>
          <w:tcPr>
            <w:tcW w:w="2437" w:type="dxa"/>
          </w:tcPr>
          <w:p w:rsidR="004B569D" w:rsidRPr="003C736D" w:rsidRDefault="004B569D" w:rsidP="008354E0">
            <w:pPr>
              <w:tabs>
                <w:tab w:val="left" w:pos="720"/>
              </w:tabs>
              <w:jc w:val="both"/>
              <w:rPr>
                <w:b/>
              </w:rPr>
            </w:pPr>
            <w:r w:rsidRPr="003C736D">
              <w:rPr>
                <w:b/>
              </w:rPr>
              <w:t>ЗНФО</w:t>
            </w:r>
          </w:p>
        </w:tc>
        <w:tc>
          <w:tcPr>
            <w:tcW w:w="7139" w:type="dxa"/>
          </w:tcPr>
          <w:p w:rsidR="004B569D" w:rsidRPr="00716193" w:rsidRDefault="004B569D" w:rsidP="008354E0">
            <w:pPr>
              <w:tabs>
                <w:tab w:val="left" w:pos="720"/>
              </w:tabs>
              <w:jc w:val="both"/>
            </w:pPr>
            <w:r w:rsidRPr="00716193">
              <w:t>Закон за независимия финансов одит</w:t>
            </w:r>
          </w:p>
        </w:tc>
      </w:tr>
      <w:tr w:rsidR="004B569D" w:rsidRPr="00716193" w:rsidTr="00BD5BF6">
        <w:trPr>
          <w:jc w:val="center"/>
        </w:trPr>
        <w:tc>
          <w:tcPr>
            <w:tcW w:w="2437" w:type="dxa"/>
          </w:tcPr>
          <w:p w:rsidR="004B569D" w:rsidRPr="003C736D" w:rsidRDefault="004B569D" w:rsidP="007F4131">
            <w:pPr>
              <w:tabs>
                <w:tab w:val="left" w:pos="720"/>
              </w:tabs>
              <w:jc w:val="both"/>
              <w:rPr>
                <w:b/>
              </w:rPr>
            </w:pPr>
            <w:r w:rsidRPr="003C736D">
              <w:rPr>
                <w:b/>
              </w:rPr>
              <w:t>ЗОП</w:t>
            </w:r>
          </w:p>
        </w:tc>
        <w:tc>
          <w:tcPr>
            <w:tcW w:w="7139" w:type="dxa"/>
          </w:tcPr>
          <w:p w:rsidR="004B569D" w:rsidRPr="00716193" w:rsidRDefault="004B569D" w:rsidP="007F4131">
            <w:pPr>
              <w:tabs>
                <w:tab w:val="left" w:pos="720"/>
              </w:tabs>
              <w:jc w:val="both"/>
            </w:pPr>
            <w:r w:rsidRPr="00716193">
              <w:t>Закон за обществените поръчки</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ЗСП</w:t>
            </w:r>
          </w:p>
        </w:tc>
        <w:tc>
          <w:tcPr>
            <w:tcW w:w="7139" w:type="dxa"/>
          </w:tcPr>
          <w:p w:rsidR="00E842FE" w:rsidRPr="00716193" w:rsidRDefault="00E842FE" w:rsidP="008354E0">
            <w:pPr>
              <w:tabs>
                <w:tab w:val="left" w:pos="720"/>
              </w:tabs>
              <w:jc w:val="both"/>
            </w:pPr>
            <w:r w:rsidRPr="00716193">
              <w:t>Закон за Сметната палата</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ЗСч</w:t>
            </w:r>
          </w:p>
        </w:tc>
        <w:tc>
          <w:tcPr>
            <w:tcW w:w="7139" w:type="dxa"/>
          </w:tcPr>
          <w:p w:rsidR="00E842FE" w:rsidRPr="00716193" w:rsidRDefault="00E842FE" w:rsidP="008354E0">
            <w:pPr>
              <w:tabs>
                <w:tab w:val="left" w:pos="720"/>
              </w:tabs>
              <w:jc w:val="both"/>
            </w:pPr>
            <w:r w:rsidRPr="00716193">
              <w:t>Закон за счетоводството</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ЗФУКПС</w:t>
            </w:r>
          </w:p>
        </w:tc>
        <w:tc>
          <w:tcPr>
            <w:tcW w:w="7139" w:type="dxa"/>
          </w:tcPr>
          <w:p w:rsidR="00E842FE" w:rsidRPr="00716193" w:rsidRDefault="00E842FE" w:rsidP="008354E0">
            <w:pPr>
              <w:tabs>
                <w:tab w:val="left" w:pos="720"/>
              </w:tabs>
              <w:jc w:val="both"/>
            </w:pPr>
            <w:r w:rsidRPr="00716193">
              <w:t>Закон за финансовото управление и контрол в публичния сектор</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КСБ</w:t>
            </w:r>
          </w:p>
        </w:tc>
        <w:tc>
          <w:tcPr>
            <w:tcW w:w="7139" w:type="dxa"/>
          </w:tcPr>
          <w:p w:rsidR="00E842FE" w:rsidRPr="00716193" w:rsidRDefault="00E842FE" w:rsidP="00940989">
            <w:pPr>
              <w:tabs>
                <w:tab w:val="left" w:pos="720"/>
              </w:tabs>
              <w:jc w:val="both"/>
            </w:pPr>
            <w:r w:rsidRPr="00716193">
              <w:t>Конно</w:t>
            </w:r>
            <w:r w:rsidR="00940989" w:rsidRPr="00716193">
              <w:t>-</w:t>
            </w:r>
            <w:r w:rsidRPr="00716193">
              <w:t>спортна база</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ММС</w:t>
            </w:r>
          </w:p>
        </w:tc>
        <w:tc>
          <w:tcPr>
            <w:tcW w:w="7139" w:type="dxa"/>
          </w:tcPr>
          <w:p w:rsidR="00E842FE" w:rsidRPr="00716193" w:rsidRDefault="00E842FE" w:rsidP="008354E0">
            <w:pPr>
              <w:tabs>
                <w:tab w:val="left" w:pos="720"/>
              </w:tabs>
              <w:jc w:val="both"/>
            </w:pPr>
            <w:r w:rsidRPr="00716193">
              <w:t>Министерство на младежта и спорта</w:t>
            </w:r>
          </w:p>
        </w:tc>
      </w:tr>
      <w:tr w:rsidR="00CC23D3" w:rsidRPr="00716193" w:rsidTr="00BD5BF6">
        <w:trPr>
          <w:jc w:val="center"/>
        </w:trPr>
        <w:tc>
          <w:tcPr>
            <w:tcW w:w="2437" w:type="dxa"/>
          </w:tcPr>
          <w:p w:rsidR="00CC23D3" w:rsidRPr="003C736D" w:rsidRDefault="00CC23D3" w:rsidP="008354E0">
            <w:pPr>
              <w:tabs>
                <w:tab w:val="left" w:pos="720"/>
              </w:tabs>
              <w:jc w:val="both"/>
              <w:rPr>
                <w:b/>
              </w:rPr>
            </w:pPr>
            <w:r w:rsidRPr="003C736D">
              <w:rPr>
                <w:b/>
              </w:rPr>
              <w:t>МПС</w:t>
            </w:r>
          </w:p>
        </w:tc>
        <w:tc>
          <w:tcPr>
            <w:tcW w:w="7139" w:type="dxa"/>
          </w:tcPr>
          <w:p w:rsidR="00CC23D3" w:rsidRPr="00716193" w:rsidRDefault="00CC23D3" w:rsidP="008354E0">
            <w:pPr>
              <w:tabs>
                <w:tab w:val="left" w:pos="720"/>
              </w:tabs>
              <w:jc w:val="both"/>
            </w:pPr>
            <w:r w:rsidRPr="00716193">
              <w:t>Моторни превозни средства</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МС</w:t>
            </w:r>
          </w:p>
        </w:tc>
        <w:tc>
          <w:tcPr>
            <w:tcW w:w="7139" w:type="dxa"/>
          </w:tcPr>
          <w:p w:rsidR="00E842FE" w:rsidRPr="00716193" w:rsidRDefault="00E842FE" w:rsidP="008354E0">
            <w:pPr>
              <w:tabs>
                <w:tab w:val="left" w:pos="720"/>
              </w:tabs>
              <w:jc w:val="both"/>
            </w:pPr>
            <w:r w:rsidRPr="00716193">
              <w:t>Министерски съвет</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МСВОИ</w:t>
            </w:r>
          </w:p>
        </w:tc>
        <w:tc>
          <w:tcPr>
            <w:tcW w:w="7139" w:type="dxa"/>
          </w:tcPr>
          <w:p w:rsidR="00E842FE" w:rsidRPr="00716193" w:rsidRDefault="00E842FE" w:rsidP="006C4BBE">
            <w:pPr>
              <w:tabs>
                <w:tab w:val="left" w:pos="720"/>
              </w:tabs>
              <w:jc w:val="both"/>
            </w:pPr>
            <w:r w:rsidRPr="00716193">
              <w:t xml:space="preserve">Международни стандарти на </w:t>
            </w:r>
            <w:r w:rsidR="009A3684" w:rsidRPr="00716193">
              <w:t>В</w:t>
            </w:r>
            <w:r w:rsidRPr="00716193">
              <w:t>ърховните одитни институции</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МФ</w:t>
            </w:r>
          </w:p>
        </w:tc>
        <w:tc>
          <w:tcPr>
            <w:tcW w:w="7139" w:type="dxa"/>
          </w:tcPr>
          <w:p w:rsidR="00E842FE" w:rsidRPr="00716193" w:rsidRDefault="00E842FE" w:rsidP="008354E0">
            <w:pPr>
              <w:tabs>
                <w:tab w:val="left" w:pos="720"/>
              </w:tabs>
              <w:jc w:val="both"/>
            </w:pPr>
            <w:r w:rsidRPr="00716193">
              <w:t>Министерство на финансите</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МФВС</w:t>
            </w:r>
          </w:p>
        </w:tc>
        <w:tc>
          <w:tcPr>
            <w:tcW w:w="7139" w:type="dxa"/>
          </w:tcPr>
          <w:p w:rsidR="00E842FE" w:rsidRPr="00716193" w:rsidRDefault="00E842FE" w:rsidP="008354E0">
            <w:pPr>
              <w:tabs>
                <w:tab w:val="left" w:pos="720"/>
              </w:tabs>
              <w:jc w:val="both"/>
            </w:pPr>
            <w:r w:rsidRPr="00716193">
              <w:t>Министерство на физическото възпитание и спорта</w:t>
            </w:r>
          </w:p>
        </w:tc>
      </w:tr>
      <w:tr w:rsidR="00E842FE" w:rsidRPr="00716193" w:rsidTr="00BD5BF6">
        <w:trPr>
          <w:jc w:val="center"/>
        </w:trPr>
        <w:tc>
          <w:tcPr>
            <w:tcW w:w="2437" w:type="dxa"/>
          </w:tcPr>
          <w:p w:rsidR="00E842FE" w:rsidRPr="003C736D" w:rsidRDefault="00721284" w:rsidP="008354E0">
            <w:pPr>
              <w:tabs>
                <w:tab w:val="left" w:pos="720"/>
              </w:tabs>
              <w:jc w:val="both"/>
              <w:rPr>
                <w:b/>
                <w:lang w:val="en-US"/>
              </w:rPr>
            </w:pPr>
            <w:r w:rsidRPr="003C736D">
              <w:rPr>
                <w:b/>
              </w:rPr>
              <w:t>МФ</w:t>
            </w:r>
            <w:r w:rsidR="00E842FE" w:rsidRPr="003C736D">
              <w:rPr>
                <w:b/>
              </w:rPr>
              <w:t>СЗ</w:t>
            </w:r>
          </w:p>
        </w:tc>
        <w:tc>
          <w:tcPr>
            <w:tcW w:w="7139" w:type="dxa"/>
          </w:tcPr>
          <w:p w:rsidR="00E842FE" w:rsidRPr="00716193" w:rsidRDefault="00E842FE" w:rsidP="008354E0">
            <w:pPr>
              <w:tabs>
                <w:tab w:val="left" w:pos="720"/>
              </w:tabs>
              <w:jc w:val="both"/>
            </w:pPr>
            <w:r w:rsidRPr="00716193">
              <w:t>Многофункционална спортна зала</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НГБ</w:t>
            </w:r>
          </w:p>
        </w:tc>
        <w:tc>
          <w:tcPr>
            <w:tcW w:w="7139" w:type="dxa"/>
          </w:tcPr>
          <w:p w:rsidR="00E842FE" w:rsidRPr="00716193" w:rsidRDefault="00E842FE" w:rsidP="008354E0">
            <w:pPr>
              <w:tabs>
                <w:tab w:val="left" w:pos="720"/>
              </w:tabs>
              <w:jc w:val="both"/>
            </w:pPr>
            <w:r w:rsidRPr="00716193">
              <w:t>Национална гребна база</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НС</w:t>
            </w:r>
          </w:p>
        </w:tc>
        <w:tc>
          <w:tcPr>
            <w:tcW w:w="7139" w:type="dxa"/>
          </w:tcPr>
          <w:p w:rsidR="00E842FE" w:rsidRPr="00716193" w:rsidRDefault="00E842FE" w:rsidP="008354E0">
            <w:pPr>
              <w:tabs>
                <w:tab w:val="left" w:pos="720"/>
              </w:tabs>
              <w:jc w:val="both"/>
            </w:pPr>
            <w:r w:rsidRPr="00716193">
              <w:t>Национален стадион</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НСБ</w:t>
            </w:r>
          </w:p>
        </w:tc>
        <w:tc>
          <w:tcPr>
            <w:tcW w:w="7139" w:type="dxa"/>
          </w:tcPr>
          <w:p w:rsidR="00E842FE" w:rsidRPr="00716193" w:rsidRDefault="00E842FE" w:rsidP="008354E0">
            <w:pPr>
              <w:tabs>
                <w:tab w:val="left" w:pos="720"/>
              </w:tabs>
              <w:jc w:val="both"/>
            </w:pPr>
            <w:r w:rsidRPr="00716193">
              <w:t>Национална спортна база</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НСЗ</w:t>
            </w:r>
          </w:p>
        </w:tc>
        <w:tc>
          <w:tcPr>
            <w:tcW w:w="7139" w:type="dxa"/>
          </w:tcPr>
          <w:p w:rsidR="00E842FE" w:rsidRPr="00716193" w:rsidRDefault="00E842FE" w:rsidP="008354E0">
            <w:pPr>
              <w:tabs>
                <w:tab w:val="left" w:pos="720"/>
              </w:tabs>
              <w:jc w:val="both"/>
            </w:pPr>
            <w:r w:rsidRPr="00716193">
              <w:t>Национални спортни зали</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НСК</w:t>
            </w:r>
          </w:p>
        </w:tc>
        <w:tc>
          <w:tcPr>
            <w:tcW w:w="7139" w:type="dxa"/>
          </w:tcPr>
          <w:p w:rsidR="00E842FE" w:rsidRPr="00716193" w:rsidRDefault="00E842FE" w:rsidP="008354E0">
            <w:pPr>
              <w:tabs>
                <w:tab w:val="left" w:pos="720"/>
              </w:tabs>
              <w:jc w:val="both"/>
            </w:pPr>
            <w:r w:rsidRPr="00716193">
              <w:t>Национален спортен комплекс</w:t>
            </w:r>
          </w:p>
        </w:tc>
      </w:tr>
      <w:tr w:rsidR="00E842FE" w:rsidRPr="00716193" w:rsidTr="00BD5BF6">
        <w:trPr>
          <w:jc w:val="center"/>
        </w:trPr>
        <w:tc>
          <w:tcPr>
            <w:tcW w:w="2437" w:type="dxa"/>
          </w:tcPr>
          <w:p w:rsidR="00E842FE" w:rsidRPr="003C736D" w:rsidRDefault="00E842FE" w:rsidP="008354E0">
            <w:pPr>
              <w:tabs>
                <w:tab w:val="left" w:pos="720"/>
              </w:tabs>
              <w:jc w:val="both"/>
              <w:rPr>
                <w:b/>
              </w:rPr>
            </w:pPr>
            <w:r w:rsidRPr="003C736D">
              <w:rPr>
                <w:b/>
              </w:rPr>
              <w:t>ОВ на ЕС</w:t>
            </w:r>
          </w:p>
        </w:tc>
        <w:tc>
          <w:tcPr>
            <w:tcW w:w="7139" w:type="dxa"/>
          </w:tcPr>
          <w:p w:rsidR="00E842FE" w:rsidRPr="00716193" w:rsidRDefault="00E842FE" w:rsidP="008354E0">
            <w:pPr>
              <w:tabs>
                <w:tab w:val="left" w:pos="720"/>
              </w:tabs>
              <w:jc w:val="both"/>
            </w:pPr>
            <w:r w:rsidRPr="00716193">
              <w:t>Официален вестник на Европейския съюз</w:t>
            </w:r>
          </w:p>
        </w:tc>
      </w:tr>
      <w:tr w:rsidR="00C30A76" w:rsidRPr="00716193" w:rsidTr="00BD5BF6">
        <w:trPr>
          <w:jc w:val="center"/>
        </w:trPr>
        <w:tc>
          <w:tcPr>
            <w:tcW w:w="2437" w:type="dxa"/>
          </w:tcPr>
          <w:p w:rsidR="00C30A76" w:rsidRPr="003C736D" w:rsidRDefault="00C30A76" w:rsidP="008354E0">
            <w:pPr>
              <w:tabs>
                <w:tab w:val="left" w:pos="720"/>
              </w:tabs>
              <w:jc w:val="both"/>
              <w:rPr>
                <w:b/>
              </w:rPr>
            </w:pPr>
            <w:r w:rsidRPr="003C736D">
              <w:rPr>
                <w:b/>
              </w:rPr>
              <w:t>ПЗР</w:t>
            </w:r>
          </w:p>
        </w:tc>
        <w:tc>
          <w:tcPr>
            <w:tcW w:w="7139" w:type="dxa"/>
          </w:tcPr>
          <w:p w:rsidR="00C30A76" w:rsidRPr="00716193" w:rsidRDefault="00C30A76" w:rsidP="008354E0">
            <w:pPr>
              <w:tabs>
                <w:tab w:val="left" w:pos="720"/>
              </w:tabs>
              <w:jc w:val="both"/>
            </w:pPr>
            <w:r w:rsidRPr="00716193">
              <w:t>Преходни и заключителни разпоредби</w:t>
            </w:r>
          </w:p>
        </w:tc>
      </w:tr>
      <w:tr w:rsidR="0081350E" w:rsidRPr="00716193" w:rsidTr="00BD5BF6">
        <w:trPr>
          <w:jc w:val="center"/>
        </w:trPr>
        <w:tc>
          <w:tcPr>
            <w:tcW w:w="2437" w:type="dxa"/>
          </w:tcPr>
          <w:p w:rsidR="0081350E" w:rsidRPr="003C736D" w:rsidRDefault="0081350E" w:rsidP="008354E0">
            <w:pPr>
              <w:tabs>
                <w:tab w:val="left" w:pos="720"/>
              </w:tabs>
              <w:jc w:val="both"/>
              <w:rPr>
                <w:b/>
              </w:rPr>
            </w:pPr>
            <w:r w:rsidRPr="003C736D">
              <w:rPr>
                <w:b/>
              </w:rPr>
              <w:t>ППЗДС</w:t>
            </w:r>
          </w:p>
        </w:tc>
        <w:tc>
          <w:tcPr>
            <w:tcW w:w="7139" w:type="dxa"/>
          </w:tcPr>
          <w:p w:rsidR="0081350E" w:rsidRPr="00716193" w:rsidRDefault="0081350E" w:rsidP="008354E0">
            <w:pPr>
              <w:tabs>
                <w:tab w:val="left" w:pos="720"/>
              </w:tabs>
              <w:jc w:val="both"/>
            </w:pPr>
            <w:r w:rsidRPr="00716193">
              <w:t xml:space="preserve">Правилник за прилагане на Закона за държавната собственост </w:t>
            </w:r>
          </w:p>
        </w:tc>
      </w:tr>
      <w:tr w:rsidR="0081350E" w:rsidRPr="00716193" w:rsidTr="00BD5BF6">
        <w:trPr>
          <w:jc w:val="center"/>
        </w:trPr>
        <w:tc>
          <w:tcPr>
            <w:tcW w:w="2437" w:type="dxa"/>
          </w:tcPr>
          <w:p w:rsidR="0081350E" w:rsidRPr="003C736D" w:rsidRDefault="0081350E" w:rsidP="008354E0">
            <w:pPr>
              <w:tabs>
                <w:tab w:val="left" w:pos="720"/>
              </w:tabs>
              <w:jc w:val="both"/>
              <w:rPr>
                <w:b/>
              </w:rPr>
            </w:pPr>
            <w:r w:rsidRPr="003C736D">
              <w:rPr>
                <w:b/>
              </w:rPr>
              <w:t>ППЗОП</w:t>
            </w:r>
          </w:p>
        </w:tc>
        <w:tc>
          <w:tcPr>
            <w:tcW w:w="7139" w:type="dxa"/>
          </w:tcPr>
          <w:p w:rsidR="0081350E" w:rsidRPr="00716193" w:rsidRDefault="0081350E" w:rsidP="008354E0">
            <w:pPr>
              <w:tabs>
                <w:tab w:val="left" w:pos="720"/>
              </w:tabs>
              <w:jc w:val="both"/>
            </w:pPr>
            <w:r w:rsidRPr="00716193">
              <w:t>Правилник за прилагане на Закона за обществените поръчки</w:t>
            </w:r>
          </w:p>
        </w:tc>
      </w:tr>
      <w:tr w:rsidR="0081350E" w:rsidRPr="00716193" w:rsidTr="00BD5BF6">
        <w:trPr>
          <w:jc w:val="center"/>
        </w:trPr>
        <w:tc>
          <w:tcPr>
            <w:tcW w:w="2437" w:type="dxa"/>
          </w:tcPr>
          <w:p w:rsidR="0081350E" w:rsidRPr="003C736D" w:rsidRDefault="0081350E" w:rsidP="008354E0">
            <w:pPr>
              <w:tabs>
                <w:tab w:val="left" w:pos="720"/>
              </w:tabs>
              <w:jc w:val="both"/>
              <w:rPr>
                <w:b/>
              </w:rPr>
            </w:pPr>
            <w:r w:rsidRPr="003C736D">
              <w:rPr>
                <w:b/>
                <w:bCs/>
              </w:rPr>
              <w:t>ПРУПДТДДУК</w:t>
            </w:r>
          </w:p>
        </w:tc>
        <w:tc>
          <w:tcPr>
            <w:tcW w:w="7139" w:type="dxa"/>
          </w:tcPr>
          <w:p w:rsidR="0081350E" w:rsidRPr="00716193" w:rsidRDefault="0081350E" w:rsidP="008354E0">
            <w:pPr>
              <w:tabs>
                <w:tab w:val="left" w:pos="720"/>
              </w:tabs>
              <w:jc w:val="both"/>
            </w:pPr>
            <w:r w:rsidRPr="00716193">
              <w:t xml:space="preserve">Правилник за реда за упражняване </w:t>
            </w:r>
            <w:r w:rsidRPr="00716193">
              <w:rPr>
                <w:bCs/>
              </w:rPr>
              <w:t>правата на държавата в търговските дружества с държавно участие в капитала</w:t>
            </w:r>
          </w:p>
        </w:tc>
      </w:tr>
      <w:tr w:rsidR="0081350E" w:rsidRPr="00716193" w:rsidTr="00BD5BF6">
        <w:trPr>
          <w:jc w:val="center"/>
        </w:trPr>
        <w:tc>
          <w:tcPr>
            <w:tcW w:w="2437" w:type="dxa"/>
          </w:tcPr>
          <w:p w:rsidR="0081350E" w:rsidRPr="003C736D" w:rsidRDefault="0081350E" w:rsidP="008354E0">
            <w:pPr>
              <w:tabs>
                <w:tab w:val="left" w:pos="720"/>
              </w:tabs>
              <w:jc w:val="both"/>
              <w:rPr>
                <w:b/>
              </w:rPr>
            </w:pPr>
            <w:r w:rsidRPr="003C736D">
              <w:rPr>
                <w:b/>
              </w:rPr>
              <w:t>РОП</w:t>
            </w:r>
          </w:p>
        </w:tc>
        <w:tc>
          <w:tcPr>
            <w:tcW w:w="7139" w:type="dxa"/>
          </w:tcPr>
          <w:p w:rsidR="0081350E" w:rsidRPr="00716193" w:rsidRDefault="0081350E" w:rsidP="008354E0">
            <w:pPr>
              <w:tabs>
                <w:tab w:val="left" w:pos="720"/>
              </w:tabs>
              <w:jc w:val="both"/>
            </w:pPr>
            <w:r w:rsidRPr="00716193">
              <w:t>Регистър на обществените поръчки</w:t>
            </w:r>
          </w:p>
        </w:tc>
      </w:tr>
      <w:tr w:rsidR="0081350E" w:rsidRPr="00716193" w:rsidTr="00BD5BF6">
        <w:trPr>
          <w:jc w:val="center"/>
        </w:trPr>
        <w:tc>
          <w:tcPr>
            <w:tcW w:w="2437" w:type="dxa"/>
          </w:tcPr>
          <w:p w:rsidR="0081350E" w:rsidRPr="003C736D" w:rsidRDefault="0081350E" w:rsidP="008354E0">
            <w:pPr>
              <w:tabs>
                <w:tab w:val="left" w:pos="720"/>
              </w:tabs>
              <w:jc w:val="both"/>
              <w:rPr>
                <w:b/>
              </w:rPr>
            </w:pPr>
            <w:r w:rsidRPr="003C736D">
              <w:rPr>
                <w:b/>
              </w:rPr>
              <w:t>СД</w:t>
            </w:r>
          </w:p>
        </w:tc>
        <w:tc>
          <w:tcPr>
            <w:tcW w:w="7139" w:type="dxa"/>
          </w:tcPr>
          <w:p w:rsidR="0081350E" w:rsidRPr="00716193" w:rsidRDefault="0081350E" w:rsidP="008354E0">
            <w:pPr>
              <w:tabs>
                <w:tab w:val="left" w:pos="720"/>
              </w:tabs>
              <w:jc w:val="both"/>
            </w:pPr>
            <w:r w:rsidRPr="00716193">
              <w:t>Съвет на директорите</w:t>
            </w:r>
          </w:p>
        </w:tc>
      </w:tr>
      <w:tr w:rsidR="0081350E" w:rsidRPr="00716193" w:rsidTr="00BD5BF6">
        <w:trPr>
          <w:jc w:val="center"/>
        </w:trPr>
        <w:tc>
          <w:tcPr>
            <w:tcW w:w="2437" w:type="dxa"/>
          </w:tcPr>
          <w:p w:rsidR="0081350E" w:rsidRPr="003C736D" w:rsidRDefault="0081350E" w:rsidP="008354E0">
            <w:pPr>
              <w:tabs>
                <w:tab w:val="left" w:pos="720"/>
              </w:tabs>
              <w:jc w:val="both"/>
              <w:rPr>
                <w:b/>
              </w:rPr>
            </w:pPr>
            <w:r w:rsidRPr="003C736D">
              <w:rPr>
                <w:b/>
              </w:rPr>
              <w:t>СФУК</w:t>
            </w:r>
          </w:p>
        </w:tc>
        <w:tc>
          <w:tcPr>
            <w:tcW w:w="7139" w:type="dxa"/>
          </w:tcPr>
          <w:p w:rsidR="0081350E" w:rsidRPr="00716193" w:rsidRDefault="0081350E" w:rsidP="00556034">
            <w:pPr>
              <w:tabs>
                <w:tab w:val="left" w:pos="720"/>
              </w:tabs>
              <w:jc w:val="both"/>
            </w:pPr>
            <w:r w:rsidRPr="00716193">
              <w:t>Система за финансово управление и контрол</w:t>
            </w:r>
          </w:p>
        </w:tc>
      </w:tr>
      <w:tr w:rsidR="0081350E" w:rsidRPr="00716193" w:rsidTr="00BD5BF6">
        <w:trPr>
          <w:jc w:val="center"/>
        </w:trPr>
        <w:tc>
          <w:tcPr>
            <w:tcW w:w="2437" w:type="dxa"/>
          </w:tcPr>
          <w:p w:rsidR="0081350E" w:rsidRPr="003C736D" w:rsidRDefault="0081350E" w:rsidP="008354E0">
            <w:pPr>
              <w:tabs>
                <w:tab w:val="left" w:pos="720"/>
              </w:tabs>
              <w:jc w:val="both"/>
              <w:rPr>
                <w:b/>
              </w:rPr>
            </w:pPr>
            <w:r w:rsidRPr="003C736D">
              <w:rPr>
                <w:b/>
              </w:rPr>
              <w:t>СМР</w:t>
            </w:r>
          </w:p>
        </w:tc>
        <w:tc>
          <w:tcPr>
            <w:tcW w:w="7139" w:type="dxa"/>
          </w:tcPr>
          <w:p w:rsidR="0081350E" w:rsidRPr="00716193" w:rsidRDefault="0081350E" w:rsidP="008354E0">
            <w:pPr>
              <w:tabs>
                <w:tab w:val="left" w:pos="720"/>
              </w:tabs>
              <w:jc w:val="both"/>
            </w:pPr>
            <w:r w:rsidRPr="00716193">
              <w:t>Строително монтажни работи</w:t>
            </w:r>
          </w:p>
        </w:tc>
      </w:tr>
      <w:tr w:rsidR="0081350E" w:rsidRPr="00716193" w:rsidTr="00BD5BF6">
        <w:trPr>
          <w:jc w:val="center"/>
        </w:trPr>
        <w:tc>
          <w:tcPr>
            <w:tcW w:w="2437" w:type="dxa"/>
          </w:tcPr>
          <w:p w:rsidR="0081350E" w:rsidRPr="003C736D" w:rsidRDefault="0081350E" w:rsidP="008354E0">
            <w:pPr>
              <w:tabs>
                <w:tab w:val="left" w:pos="720"/>
              </w:tabs>
              <w:jc w:val="both"/>
              <w:rPr>
                <w:b/>
              </w:rPr>
            </w:pPr>
            <w:r w:rsidRPr="003C736D">
              <w:rPr>
                <w:b/>
              </w:rPr>
              <w:t>ТД</w:t>
            </w:r>
          </w:p>
        </w:tc>
        <w:tc>
          <w:tcPr>
            <w:tcW w:w="7139" w:type="dxa"/>
          </w:tcPr>
          <w:p w:rsidR="0081350E" w:rsidRPr="00716193" w:rsidRDefault="0081350E" w:rsidP="008354E0">
            <w:pPr>
              <w:tabs>
                <w:tab w:val="left" w:pos="720"/>
              </w:tabs>
              <w:jc w:val="both"/>
            </w:pPr>
            <w:r w:rsidRPr="00716193">
              <w:t>Търговско дружество</w:t>
            </w:r>
          </w:p>
        </w:tc>
      </w:tr>
      <w:tr w:rsidR="0081350E" w:rsidRPr="00716193" w:rsidTr="00BD5BF6">
        <w:trPr>
          <w:jc w:val="center"/>
        </w:trPr>
        <w:tc>
          <w:tcPr>
            <w:tcW w:w="2437" w:type="dxa"/>
          </w:tcPr>
          <w:p w:rsidR="0081350E" w:rsidRPr="003C736D" w:rsidRDefault="0081350E" w:rsidP="008354E0">
            <w:pPr>
              <w:tabs>
                <w:tab w:val="left" w:pos="720"/>
              </w:tabs>
              <w:jc w:val="both"/>
              <w:rPr>
                <w:b/>
              </w:rPr>
            </w:pPr>
            <w:r w:rsidRPr="003C736D">
              <w:rPr>
                <w:b/>
              </w:rPr>
              <w:t>ТЗ</w:t>
            </w:r>
          </w:p>
        </w:tc>
        <w:tc>
          <w:tcPr>
            <w:tcW w:w="7139" w:type="dxa"/>
          </w:tcPr>
          <w:p w:rsidR="0081350E" w:rsidRPr="00716193" w:rsidRDefault="0081350E" w:rsidP="008354E0">
            <w:pPr>
              <w:tabs>
                <w:tab w:val="left" w:pos="720"/>
              </w:tabs>
              <w:jc w:val="both"/>
            </w:pPr>
            <w:r w:rsidRPr="00716193">
              <w:t>Търговски закон</w:t>
            </w:r>
          </w:p>
        </w:tc>
      </w:tr>
      <w:tr w:rsidR="0081350E" w:rsidRPr="00716193" w:rsidTr="00BD5BF6">
        <w:trPr>
          <w:jc w:val="center"/>
        </w:trPr>
        <w:tc>
          <w:tcPr>
            <w:tcW w:w="2437" w:type="dxa"/>
          </w:tcPr>
          <w:p w:rsidR="0081350E" w:rsidRPr="003C736D" w:rsidRDefault="0081350E" w:rsidP="008354E0">
            <w:pPr>
              <w:tabs>
                <w:tab w:val="left" w:pos="720"/>
              </w:tabs>
              <w:jc w:val="both"/>
              <w:rPr>
                <w:b/>
              </w:rPr>
            </w:pPr>
            <w:r w:rsidRPr="003C736D">
              <w:rPr>
                <w:b/>
              </w:rPr>
              <w:t>ТР</w:t>
            </w:r>
          </w:p>
        </w:tc>
        <w:tc>
          <w:tcPr>
            <w:tcW w:w="7139" w:type="dxa"/>
          </w:tcPr>
          <w:p w:rsidR="0081350E" w:rsidRPr="00716193" w:rsidRDefault="0081350E" w:rsidP="008354E0">
            <w:pPr>
              <w:tabs>
                <w:tab w:val="left" w:pos="720"/>
              </w:tabs>
              <w:jc w:val="both"/>
            </w:pPr>
            <w:r w:rsidRPr="00716193">
              <w:t>Търговски регистър</w:t>
            </w:r>
          </w:p>
        </w:tc>
      </w:tr>
      <w:tr w:rsidR="0081350E" w:rsidRPr="00716193" w:rsidTr="00BD5BF6">
        <w:trPr>
          <w:jc w:val="center"/>
        </w:trPr>
        <w:tc>
          <w:tcPr>
            <w:tcW w:w="2437" w:type="dxa"/>
          </w:tcPr>
          <w:p w:rsidR="0081350E" w:rsidRPr="003C736D" w:rsidRDefault="00FD37D5" w:rsidP="008354E0">
            <w:pPr>
              <w:tabs>
                <w:tab w:val="left" w:pos="720"/>
              </w:tabs>
              <w:jc w:val="both"/>
              <w:rPr>
                <w:b/>
              </w:rPr>
            </w:pPr>
            <w:r w:rsidRPr="003C736D">
              <w:rPr>
                <w:b/>
              </w:rPr>
              <w:t>УИН</w:t>
            </w:r>
          </w:p>
        </w:tc>
        <w:tc>
          <w:tcPr>
            <w:tcW w:w="7139" w:type="dxa"/>
          </w:tcPr>
          <w:p w:rsidR="0081350E" w:rsidRPr="00716193" w:rsidRDefault="00FD37D5" w:rsidP="00346CD0">
            <w:pPr>
              <w:tabs>
                <w:tab w:val="left" w:pos="720"/>
              </w:tabs>
              <w:jc w:val="both"/>
            </w:pPr>
            <w:r w:rsidRPr="00716193">
              <w:t>Уни</w:t>
            </w:r>
            <w:r w:rsidR="00346CD0" w:rsidRPr="00716193">
              <w:t>кален</w:t>
            </w:r>
            <w:r w:rsidRPr="00716193">
              <w:t xml:space="preserve"> идентификационен номер</w:t>
            </w:r>
          </w:p>
        </w:tc>
      </w:tr>
    </w:tbl>
    <w:p w:rsidR="00FB3DDD" w:rsidRPr="00716193" w:rsidRDefault="00FB3DDD" w:rsidP="000367EC">
      <w:pPr>
        <w:tabs>
          <w:tab w:val="left" w:pos="0"/>
        </w:tabs>
        <w:spacing w:before="120"/>
        <w:ind w:firstLine="709"/>
        <w:rPr>
          <w:b/>
        </w:rPr>
      </w:pPr>
      <w:r w:rsidRPr="00716193">
        <w:rPr>
          <w:b/>
        </w:rPr>
        <w:br w:type="page"/>
      </w:r>
      <w:r w:rsidRPr="00716193">
        <w:rPr>
          <w:b/>
        </w:rPr>
        <w:lastRenderedPageBreak/>
        <w:t>Част първа</w:t>
      </w:r>
    </w:p>
    <w:p w:rsidR="00FB3DDD" w:rsidRPr="00716193" w:rsidRDefault="00FB3DDD" w:rsidP="000367EC">
      <w:pPr>
        <w:tabs>
          <w:tab w:val="left" w:pos="720"/>
        </w:tabs>
        <w:spacing w:before="120"/>
        <w:ind w:firstLine="720"/>
        <w:jc w:val="both"/>
        <w:rPr>
          <w:b/>
          <w:lang w:val="en-US"/>
        </w:rPr>
      </w:pPr>
      <w:r w:rsidRPr="00716193">
        <w:rPr>
          <w:b/>
        </w:rPr>
        <w:t>РЕЗЮМЕ</w:t>
      </w:r>
    </w:p>
    <w:p w:rsidR="001102F6" w:rsidRPr="00716193" w:rsidRDefault="001102F6" w:rsidP="000367EC">
      <w:pPr>
        <w:tabs>
          <w:tab w:val="left" w:pos="720"/>
        </w:tabs>
        <w:ind w:firstLine="720"/>
        <w:jc w:val="both"/>
        <w:rPr>
          <w:b/>
          <w:lang w:val="en-US"/>
        </w:rPr>
      </w:pPr>
    </w:p>
    <w:p w:rsidR="00F43885" w:rsidRPr="00716193" w:rsidRDefault="00F43885" w:rsidP="00F43885">
      <w:pPr>
        <w:ind w:firstLine="720"/>
        <w:jc w:val="both"/>
      </w:pPr>
      <w:r w:rsidRPr="00716193">
        <w:t xml:space="preserve">В съответствие с Програмата за одитната дейност на Сметната палата за 2015 г. </w:t>
      </w:r>
      <w:r w:rsidR="00CE3DD8" w:rsidRPr="00716193">
        <w:t>е извърш</w:t>
      </w:r>
      <w:r w:rsidR="00D77E10" w:rsidRPr="00716193">
        <w:t>ен</w:t>
      </w:r>
      <w:r w:rsidR="00CE3DD8" w:rsidRPr="00716193">
        <w:t xml:space="preserve"> одит на „Национална спортна база“</w:t>
      </w:r>
      <w:r w:rsidR="006B782D" w:rsidRPr="00716193">
        <w:rPr>
          <w:lang w:val="en-US"/>
        </w:rPr>
        <w:t>(</w:t>
      </w:r>
      <w:r w:rsidR="006B782D" w:rsidRPr="00716193">
        <w:t>„НСБ“</w:t>
      </w:r>
      <w:r w:rsidR="006B782D" w:rsidRPr="00716193">
        <w:rPr>
          <w:lang w:val="en-US"/>
        </w:rPr>
        <w:t>)</w:t>
      </w:r>
      <w:r w:rsidR="00CE3DD8" w:rsidRPr="00716193">
        <w:t xml:space="preserve"> ЕАД за периода от 01.01.2013 г. до 31.12.2014 г.</w:t>
      </w:r>
    </w:p>
    <w:p w:rsidR="007A4598" w:rsidRPr="00716193" w:rsidRDefault="007A4598" w:rsidP="007A4598">
      <w:pPr>
        <w:tabs>
          <w:tab w:val="left" w:pos="720"/>
        </w:tabs>
        <w:ind w:firstLine="720"/>
        <w:jc w:val="both"/>
        <w:rPr>
          <w:bCs/>
        </w:rPr>
      </w:pPr>
      <w:r w:rsidRPr="00716193">
        <w:t xml:space="preserve">„НСБ“ ЕАД е търговско дружество (ТД) със 100 на сто държавно участие в капитала. </w:t>
      </w:r>
      <w:r w:rsidRPr="00716193">
        <w:rPr>
          <w:bCs/>
        </w:rPr>
        <w:t>Министърът на младежта и спорта упражнява правата на държавата като едноличен собственик на капитала на дружеството.</w:t>
      </w:r>
    </w:p>
    <w:p w:rsidR="00CE3DD8" w:rsidRPr="00716193" w:rsidRDefault="0010512D" w:rsidP="00CE3DD8">
      <w:pPr>
        <w:ind w:firstLine="720"/>
        <w:jc w:val="both"/>
      </w:pPr>
      <w:r w:rsidRPr="00716193">
        <w:t xml:space="preserve">Одитиран обект при одита е </w:t>
      </w:r>
      <w:r w:rsidRPr="00716193">
        <w:rPr>
          <w:bCs/>
        </w:rPr>
        <w:t xml:space="preserve">изпълнението на дейността и състоянието на </w:t>
      </w:r>
      <w:r w:rsidR="007A4598" w:rsidRPr="00716193">
        <w:t>системата за финансово управление и контрол (</w:t>
      </w:r>
      <w:r w:rsidRPr="00716193">
        <w:rPr>
          <w:bCs/>
        </w:rPr>
        <w:t>СФУК</w:t>
      </w:r>
      <w:r w:rsidR="007A4598" w:rsidRPr="00716193">
        <w:rPr>
          <w:bCs/>
        </w:rPr>
        <w:t>)</w:t>
      </w:r>
      <w:r w:rsidRPr="00716193">
        <w:rPr>
          <w:b/>
          <w:bCs/>
          <w:sz w:val="22"/>
          <w:szCs w:val="22"/>
        </w:rPr>
        <w:t xml:space="preserve"> </w:t>
      </w:r>
      <w:r w:rsidR="007A4598" w:rsidRPr="00716193">
        <w:t>в три области на изследване: „У</w:t>
      </w:r>
      <w:r w:rsidR="007A4598" w:rsidRPr="00716193">
        <w:rPr>
          <w:bCs/>
        </w:rPr>
        <w:t xml:space="preserve">правление на дружеството”, </w:t>
      </w:r>
      <w:r w:rsidR="007A4598" w:rsidRPr="00716193">
        <w:t>„У</w:t>
      </w:r>
      <w:r w:rsidR="007A4598" w:rsidRPr="00716193">
        <w:rPr>
          <w:bCs/>
        </w:rPr>
        <w:t>правление на имуществото” и</w:t>
      </w:r>
      <w:r w:rsidR="007A4598" w:rsidRPr="00716193">
        <w:t xml:space="preserve"> „</w:t>
      </w:r>
      <w:r w:rsidR="007A4598" w:rsidRPr="00716193">
        <w:rPr>
          <w:bCs/>
        </w:rPr>
        <w:t>У</w:t>
      </w:r>
      <w:r w:rsidR="007A4598" w:rsidRPr="00716193">
        <w:t>правленски решения, свързани с възлагане на обществени поръчки”. И</w:t>
      </w:r>
      <w:r w:rsidR="00CE3DD8" w:rsidRPr="00716193">
        <w:t xml:space="preserve">зползвани </w:t>
      </w:r>
      <w:r w:rsidR="007A4598" w:rsidRPr="00716193">
        <w:t xml:space="preserve">са </w:t>
      </w:r>
      <w:r w:rsidR="00CE3DD8" w:rsidRPr="00716193">
        <w:t>следните критерии за оценка:</w:t>
      </w:r>
      <w:r w:rsidR="004726A4" w:rsidRPr="00716193">
        <w:t xml:space="preserve"> съответствие на управленските решения с правната рам</w:t>
      </w:r>
      <w:r w:rsidR="000C000E" w:rsidRPr="00716193">
        <w:t xml:space="preserve">ка и договорите през одитирания </w:t>
      </w:r>
      <w:r w:rsidR="004726A4" w:rsidRPr="00716193">
        <w:t>период</w:t>
      </w:r>
      <w:r w:rsidR="007A4598" w:rsidRPr="00716193">
        <w:t xml:space="preserve"> в изследваните области</w:t>
      </w:r>
      <w:r w:rsidR="00D509CC" w:rsidRPr="00716193">
        <w:t xml:space="preserve">, </w:t>
      </w:r>
      <w:r w:rsidR="004726A4" w:rsidRPr="00716193">
        <w:t xml:space="preserve">и съответствие на </w:t>
      </w:r>
      <w:r w:rsidR="006B782D" w:rsidRPr="00716193">
        <w:t>СФУК</w:t>
      </w:r>
      <w:r w:rsidR="004726A4" w:rsidRPr="00716193">
        <w:t xml:space="preserve"> с изискванията на Закона за финансово управление и контрол в публичния сектор </w:t>
      </w:r>
      <w:r w:rsidR="004726A4" w:rsidRPr="00716193">
        <w:rPr>
          <w:lang w:val="en-US"/>
        </w:rPr>
        <w:t>(</w:t>
      </w:r>
      <w:r w:rsidR="004726A4" w:rsidRPr="00716193">
        <w:t>ЗФУКПС</w:t>
      </w:r>
      <w:r w:rsidR="004726A4" w:rsidRPr="00716193">
        <w:rPr>
          <w:lang w:val="en-US"/>
        </w:rPr>
        <w:t>)</w:t>
      </w:r>
      <w:r w:rsidR="004726A4" w:rsidRPr="00716193">
        <w:t xml:space="preserve"> в </w:t>
      </w:r>
      <w:r w:rsidR="007A4598" w:rsidRPr="00716193">
        <w:t>тях</w:t>
      </w:r>
      <w:r w:rsidR="004726A4" w:rsidRPr="00716193">
        <w:t>.</w:t>
      </w:r>
    </w:p>
    <w:p w:rsidR="00D74B5A" w:rsidRPr="00716193" w:rsidRDefault="00D74B5A" w:rsidP="00D74B5A">
      <w:pPr>
        <w:pStyle w:val="BodyText3"/>
        <w:spacing w:after="0"/>
        <w:ind w:firstLine="720"/>
        <w:jc w:val="both"/>
        <w:rPr>
          <w:rFonts w:ascii="Times New Roman" w:hAnsi="Times New Roman" w:cs="Times New Roman"/>
          <w:bCs/>
          <w:sz w:val="24"/>
          <w:szCs w:val="24"/>
        </w:rPr>
      </w:pPr>
      <w:r w:rsidRPr="00716193">
        <w:rPr>
          <w:rFonts w:ascii="Times New Roman" w:hAnsi="Times New Roman" w:cs="Times New Roman"/>
          <w:bCs/>
          <w:sz w:val="24"/>
          <w:szCs w:val="24"/>
        </w:rPr>
        <w:t xml:space="preserve">В резултат на извършения одит </w:t>
      </w:r>
      <w:r w:rsidR="00965FD2" w:rsidRPr="00716193">
        <w:rPr>
          <w:rFonts w:ascii="Times New Roman" w:hAnsi="Times New Roman" w:cs="Times New Roman"/>
          <w:bCs/>
          <w:sz w:val="24"/>
          <w:szCs w:val="24"/>
        </w:rPr>
        <w:t>е установено, че</w:t>
      </w:r>
      <w:r w:rsidRPr="00716193">
        <w:rPr>
          <w:rFonts w:ascii="Times New Roman" w:hAnsi="Times New Roman" w:cs="Times New Roman"/>
          <w:bCs/>
          <w:sz w:val="24"/>
          <w:szCs w:val="24"/>
        </w:rPr>
        <w:t>:</w:t>
      </w:r>
    </w:p>
    <w:p w:rsidR="00D05DD8" w:rsidRPr="00716193" w:rsidRDefault="00805F98" w:rsidP="00954EE6">
      <w:pPr>
        <w:ind w:firstLine="708"/>
        <w:jc w:val="both"/>
      </w:pPr>
      <w:r w:rsidRPr="00716193">
        <w:t xml:space="preserve">В област на изследване </w:t>
      </w:r>
      <w:r w:rsidRPr="00716193">
        <w:rPr>
          <w:b/>
        </w:rPr>
        <w:t>„Управление на дружеството“</w:t>
      </w:r>
      <w:r w:rsidR="00954EE6" w:rsidRPr="00716193">
        <w:t xml:space="preserve"> </w:t>
      </w:r>
      <w:r w:rsidR="004B098C" w:rsidRPr="00716193">
        <w:t>съществува съответствие</w:t>
      </w:r>
      <w:r w:rsidR="00954EE6" w:rsidRPr="00716193">
        <w:t xml:space="preserve"> в</w:t>
      </w:r>
      <w:r w:rsidR="00D2249D" w:rsidRPr="00716193">
        <w:t>ъв</w:t>
      </w:r>
      <w:r w:rsidR="00954EE6" w:rsidRPr="00716193">
        <w:t xml:space="preserve"> </w:t>
      </w:r>
      <w:r w:rsidR="00D2249D" w:rsidRPr="00716193">
        <w:t xml:space="preserve">всички </w:t>
      </w:r>
      <w:r w:rsidR="00954EE6" w:rsidRPr="00716193">
        <w:t>съществени аспекти</w:t>
      </w:r>
      <w:r w:rsidR="004B098C" w:rsidRPr="00716193">
        <w:t>, с изключение на несъответствията с правната рамка, свързани със съдържанието на устава на дружеството, и липсата на стратегия и бизнес програма на дружеството за целия срок на действие на договора за управление и поотделно за всяка една от годините</w:t>
      </w:r>
      <w:r w:rsidR="00D2249D" w:rsidRPr="00716193">
        <w:t xml:space="preserve">. </w:t>
      </w:r>
      <w:r w:rsidR="004B098C" w:rsidRPr="00716193">
        <w:t>В някои аспекти са к</w:t>
      </w:r>
      <w:r w:rsidR="00D2249D" w:rsidRPr="00716193">
        <w:rPr>
          <w:rFonts w:eastAsia="Calibri"/>
          <w:lang w:eastAsia="en-US"/>
        </w:rPr>
        <w:t xml:space="preserve">онстатирани  </w:t>
      </w:r>
      <w:r w:rsidR="00D2249D" w:rsidRPr="00716193">
        <w:rPr>
          <w:lang w:eastAsia="ar-SA"/>
        </w:rPr>
        <w:t xml:space="preserve">несъществени </w:t>
      </w:r>
      <w:r w:rsidR="00560634" w:rsidRPr="00716193">
        <w:rPr>
          <w:lang w:eastAsia="ar-SA"/>
        </w:rPr>
        <w:t>отклонения</w:t>
      </w:r>
      <w:r w:rsidR="00D2249D" w:rsidRPr="00716193">
        <w:rPr>
          <w:lang w:eastAsia="ar-SA"/>
        </w:rPr>
        <w:t>, които не оказват влияние върху заключението за съответствие</w:t>
      </w:r>
      <w:r w:rsidR="00560634" w:rsidRPr="00716193">
        <w:rPr>
          <w:lang w:eastAsia="ar-SA"/>
        </w:rPr>
        <w:t>,</w:t>
      </w:r>
      <w:r w:rsidR="004B098C" w:rsidRPr="00716193">
        <w:rPr>
          <w:lang w:eastAsia="ar-SA"/>
        </w:rPr>
        <w:t xml:space="preserve"> и</w:t>
      </w:r>
      <w:r w:rsidR="00560634" w:rsidRPr="00716193">
        <w:rPr>
          <w:lang w:eastAsia="ar-SA"/>
        </w:rPr>
        <w:t xml:space="preserve"> на които се обръща внимание.</w:t>
      </w:r>
    </w:p>
    <w:p w:rsidR="00954EE6" w:rsidRPr="00716193" w:rsidRDefault="00805F98" w:rsidP="00954EE6">
      <w:pPr>
        <w:jc w:val="both"/>
        <w:rPr>
          <w:bCs/>
          <w:i/>
        </w:rPr>
      </w:pPr>
      <w:r w:rsidRPr="00716193">
        <w:rPr>
          <w:bCs/>
          <w:i/>
        </w:rPr>
        <w:tab/>
      </w:r>
      <w:r w:rsidR="004B098C" w:rsidRPr="00716193">
        <w:t>В</w:t>
      </w:r>
      <w:r w:rsidR="00A452D0" w:rsidRPr="00716193">
        <w:t xml:space="preserve"> Министерството на физическото възпитание и спорта/Министерство</w:t>
      </w:r>
      <w:r w:rsidR="00560634" w:rsidRPr="00716193">
        <w:t>то</w:t>
      </w:r>
      <w:r w:rsidR="00A452D0" w:rsidRPr="00716193">
        <w:t xml:space="preserve"> на младежта и спорта</w:t>
      </w:r>
      <w:r w:rsidR="00661E8A" w:rsidRPr="00716193">
        <w:t xml:space="preserve"> </w:t>
      </w:r>
      <w:r w:rsidR="00661E8A" w:rsidRPr="00716193">
        <w:rPr>
          <w:lang w:val="en-US"/>
        </w:rPr>
        <w:t>(</w:t>
      </w:r>
      <w:r w:rsidR="00661E8A" w:rsidRPr="00716193">
        <w:t>МФВС/ММС</w:t>
      </w:r>
      <w:r w:rsidR="00661E8A" w:rsidRPr="00716193">
        <w:rPr>
          <w:lang w:val="en-US"/>
        </w:rPr>
        <w:t>)</w:t>
      </w:r>
      <w:r w:rsidR="004B098C" w:rsidRPr="00716193">
        <w:rPr>
          <w:bCs/>
        </w:rPr>
        <w:t xml:space="preserve"> е</w:t>
      </w:r>
      <w:r w:rsidRPr="00716193">
        <w:rPr>
          <w:bCs/>
        </w:rPr>
        <w:t xml:space="preserve"> </w:t>
      </w:r>
      <w:r w:rsidR="004B098C" w:rsidRPr="00716193">
        <w:rPr>
          <w:bCs/>
        </w:rPr>
        <w:t>определено структурно звено</w:t>
      </w:r>
      <w:r w:rsidR="004B098C" w:rsidRPr="00716193">
        <w:rPr>
          <w:bCs/>
          <w:lang w:val="en-US"/>
        </w:rPr>
        <w:t xml:space="preserve"> </w:t>
      </w:r>
      <w:r w:rsidRPr="00716193">
        <w:rPr>
          <w:bCs/>
        </w:rPr>
        <w:t>с правомощия и отговорности, което да подпомага министъра в рамките на неговата компетентност</w:t>
      </w:r>
      <w:r w:rsidRPr="00716193">
        <w:t xml:space="preserve"> при провеждане </w:t>
      </w:r>
      <w:r w:rsidR="00294929" w:rsidRPr="00716193">
        <w:t xml:space="preserve">на </w:t>
      </w:r>
      <w:r w:rsidRPr="00716193">
        <w:t xml:space="preserve">политиката по отношение на търговските дружества, в т.ч. </w:t>
      </w:r>
      <w:r w:rsidR="00615BEF" w:rsidRPr="00716193">
        <w:t>„</w:t>
      </w:r>
      <w:r w:rsidRPr="00716193">
        <w:t>НСБ</w:t>
      </w:r>
      <w:r w:rsidR="00615BEF" w:rsidRPr="00716193">
        <w:t>“</w:t>
      </w:r>
      <w:r w:rsidRPr="00716193">
        <w:t xml:space="preserve"> ЕАД</w:t>
      </w:r>
      <w:r w:rsidR="00D55E3C" w:rsidRPr="00716193">
        <w:t>.</w:t>
      </w:r>
      <w:r w:rsidR="00A452D0" w:rsidRPr="00716193">
        <w:t xml:space="preserve"> </w:t>
      </w:r>
      <w:r w:rsidR="00954EE6" w:rsidRPr="00716193">
        <w:t xml:space="preserve">Установено е </w:t>
      </w:r>
      <w:r w:rsidR="00954EE6" w:rsidRPr="00716193">
        <w:rPr>
          <w:bCs/>
        </w:rPr>
        <w:t>частично несъответствие на дейностите, свързани с подпомагане на министъра в управлението на „НСБ“ ЕАД от страна на дирекцията</w:t>
      </w:r>
      <w:r w:rsidR="00954EE6" w:rsidRPr="00716193">
        <w:t>, с тези</w:t>
      </w:r>
      <w:r w:rsidR="00954EE6" w:rsidRPr="00716193">
        <w:rPr>
          <w:bCs/>
        </w:rPr>
        <w:t>, определени с вътрешните актове.</w:t>
      </w:r>
    </w:p>
    <w:p w:rsidR="00805F98" w:rsidRPr="00716193" w:rsidRDefault="00805F98" w:rsidP="00805F98">
      <w:pPr>
        <w:jc w:val="both"/>
        <w:rPr>
          <w:rFonts w:eastAsia="Calibri"/>
          <w:lang w:eastAsia="en-US"/>
        </w:rPr>
      </w:pPr>
      <w:r w:rsidRPr="00716193">
        <w:rPr>
          <w:bCs/>
          <w:i/>
        </w:rPr>
        <w:tab/>
      </w:r>
      <w:r w:rsidRPr="00716193">
        <w:t xml:space="preserve">През одитирания период, </w:t>
      </w:r>
      <w:r w:rsidR="00464AB7" w:rsidRPr="00716193">
        <w:t xml:space="preserve">решенията на едноличния собственик на капитала относно </w:t>
      </w:r>
      <w:r w:rsidRPr="00716193">
        <w:t xml:space="preserve">намаляването на капитала и изменението на Устава на </w:t>
      </w:r>
      <w:r w:rsidR="00994C0B" w:rsidRPr="00716193">
        <w:t>„</w:t>
      </w:r>
      <w:r w:rsidRPr="00716193">
        <w:t>НСБ</w:t>
      </w:r>
      <w:r w:rsidR="00994C0B" w:rsidRPr="00716193">
        <w:t>“</w:t>
      </w:r>
      <w:r w:rsidRPr="00716193">
        <w:t xml:space="preserve"> ЕАД, избирането и освобождаването на чле</w:t>
      </w:r>
      <w:r w:rsidR="00790EAA" w:rsidRPr="00716193">
        <w:t xml:space="preserve">новете на </w:t>
      </w:r>
      <w:r w:rsidR="00E277F6" w:rsidRPr="00716193">
        <w:t>Съвета на директорите (</w:t>
      </w:r>
      <w:r w:rsidR="00790EAA" w:rsidRPr="00716193">
        <w:t>С</w:t>
      </w:r>
      <w:r w:rsidR="00464AB7" w:rsidRPr="00716193">
        <w:t>Д</w:t>
      </w:r>
      <w:r w:rsidR="00E277F6" w:rsidRPr="00716193">
        <w:t>)</w:t>
      </w:r>
      <w:r w:rsidR="00C763D1" w:rsidRPr="00716193">
        <w:t>, в т.ч. от отговорност</w:t>
      </w:r>
      <w:r w:rsidRPr="00716193">
        <w:t>,</w:t>
      </w:r>
      <w:r w:rsidR="00C763D1" w:rsidRPr="00716193">
        <w:t xml:space="preserve"> и</w:t>
      </w:r>
      <w:r w:rsidRPr="00716193">
        <w:t xml:space="preserve"> одобряването на годишния счетоводен отчет на дружеството след заверка от назначения регистриран одитор, са в съответствие с правната рамка</w:t>
      </w:r>
      <w:r w:rsidRPr="00716193">
        <w:rPr>
          <w:rFonts w:eastAsia="Calibri"/>
          <w:lang w:eastAsia="en-US"/>
        </w:rPr>
        <w:t>.</w:t>
      </w:r>
    </w:p>
    <w:p w:rsidR="00805F98" w:rsidRPr="00716193" w:rsidRDefault="005F5650" w:rsidP="00805F98">
      <w:pPr>
        <w:tabs>
          <w:tab w:val="left" w:pos="0"/>
        </w:tabs>
        <w:ind w:firstLine="709"/>
        <w:jc w:val="both"/>
      </w:pPr>
      <w:r w:rsidRPr="00716193">
        <w:t>И</w:t>
      </w:r>
      <w:r w:rsidR="00C763D1" w:rsidRPr="00716193">
        <w:t>звършени</w:t>
      </w:r>
      <w:r w:rsidR="00556034" w:rsidRPr="00716193">
        <w:t xml:space="preserve"> </w:t>
      </w:r>
      <w:r w:rsidRPr="00716193">
        <w:t xml:space="preserve">са </w:t>
      </w:r>
      <w:r w:rsidR="00556034" w:rsidRPr="00716193">
        <w:t>значителен брой п</w:t>
      </w:r>
      <w:r w:rsidR="00C763D1" w:rsidRPr="00716193">
        <w:t xml:space="preserve">ромени в състава на СД, </w:t>
      </w:r>
      <w:r w:rsidR="00556034" w:rsidRPr="00716193">
        <w:t>в</w:t>
      </w:r>
      <w:r w:rsidR="00556034" w:rsidRPr="00716193">
        <w:rPr>
          <w:rFonts w:eastAsia="Calibri"/>
          <w:lang w:eastAsia="en-US"/>
        </w:rPr>
        <w:t xml:space="preserve"> структурата и </w:t>
      </w:r>
      <w:r w:rsidR="00C763D1" w:rsidRPr="00716193">
        <w:rPr>
          <w:rFonts w:eastAsia="Calibri"/>
          <w:lang w:eastAsia="en-US"/>
        </w:rPr>
        <w:t xml:space="preserve">в </w:t>
      </w:r>
      <w:r w:rsidR="00556034" w:rsidRPr="00716193">
        <w:rPr>
          <w:rFonts w:eastAsia="Calibri"/>
          <w:lang w:eastAsia="en-US"/>
        </w:rPr>
        <w:t xml:space="preserve">щатното разписание на длъжностите в дружеството. </w:t>
      </w:r>
      <w:r w:rsidR="00805F98" w:rsidRPr="00716193">
        <w:t>Отчетността за р</w:t>
      </w:r>
      <w:r w:rsidR="00C763D1" w:rsidRPr="00716193">
        <w:t>аботата на СД</w:t>
      </w:r>
      <w:r w:rsidR="00805F98" w:rsidRPr="00716193">
        <w:t xml:space="preserve">, възлагането на един от членовете на СД да представлява и управлява </w:t>
      </w:r>
      <w:r w:rsidR="00790EAA" w:rsidRPr="00716193">
        <w:t>„</w:t>
      </w:r>
      <w:r w:rsidR="00805F98" w:rsidRPr="00716193">
        <w:t>НСБ</w:t>
      </w:r>
      <w:r w:rsidR="00790EAA" w:rsidRPr="00716193">
        <w:t>“</w:t>
      </w:r>
      <w:r w:rsidR="00805F98" w:rsidRPr="00716193">
        <w:t xml:space="preserve"> ЕАД през одитирания период, както и промените в организационната структура и </w:t>
      </w:r>
      <w:r w:rsidR="00805F98" w:rsidRPr="00716193">
        <w:rPr>
          <w:rFonts w:eastAsia="Calibri"/>
          <w:lang w:eastAsia="en-US"/>
        </w:rPr>
        <w:t>щатното разписание на длъжностите</w:t>
      </w:r>
      <w:r w:rsidR="00805F98" w:rsidRPr="00716193">
        <w:t>, са извършвани в съответствие с правната рамка и договорите за възлагане</w:t>
      </w:r>
      <w:r w:rsidR="00464AB7" w:rsidRPr="00716193">
        <w:t xml:space="preserve"> на</w:t>
      </w:r>
      <w:r w:rsidR="00805F98" w:rsidRPr="00716193">
        <w:t xml:space="preserve"> управлението, </w:t>
      </w:r>
      <w:r w:rsidR="00805F98" w:rsidRPr="00716193">
        <w:rPr>
          <w:rFonts w:eastAsia="Calibri"/>
          <w:lang w:eastAsia="en-US"/>
        </w:rPr>
        <w:t xml:space="preserve">с изключение на констатирани </w:t>
      </w:r>
      <w:r w:rsidR="00C763D1" w:rsidRPr="00716193">
        <w:rPr>
          <w:lang w:eastAsia="ar-SA"/>
        </w:rPr>
        <w:t>несъществени отклонения, на които се</w:t>
      </w:r>
      <w:r w:rsidR="004653D8" w:rsidRPr="00716193">
        <w:rPr>
          <w:lang w:eastAsia="ar-SA"/>
        </w:rPr>
        <w:t xml:space="preserve"> обръща внимание,</w:t>
      </w:r>
      <w:r w:rsidR="004653D8" w:rsidRPr="00716193">
        <w:rPr>
          <w:rFonts w:eastAsia="Calibri"/>
          <w:lang w:eastAsia="en-US"/>
        </w:rPr>
        <w:t xml:space="preserve"> </w:t>
      </w:r>
      <w:r w:rsidR="00C763D1" w:rsidRPr="00716193">
        <w:rPr>
          <w:rFonts w:eastAsia="Calibri"/>
          <w:lang w:eastAsia="en-US"/>
        </w:rPr>
        <w:t>а именно: две извършени</w:t>
      </w:r>
      <w:r w:rsidR="0079523F" w:rsidRPr="00716193">
        <w:rPr>
          <w:rFonts w:eastAsia="Calibri"/>
          <w:lang w:eastAsia="en-US"/>
        </w:rPr>
        <w:t xml:space="preserve"> промени в щатното разписание на дружеството</w:t>
      </w:r>
      <w:r w:rsidR="00C763D1" w:rsidRPr="00716193">
        <w:rPr>
          <w:rFonts w:eastAsia="Calibri"/>
          <w:lang w:eastAsia="en-US"/>
        </w:rPr>
        <w:t>, без предхождащи</w:t>
      </w:r>
      <w:r w:rsidR="0079523F" w:rsidRPr="00716193">
        <w:rPr>
          <w:rFonts w:eastAsia="Calibri"/>
          <w:lang w:eastAsia="en-US"/>
        </w:rPr>
        <w:t xml:space="preserve"> </w:t>
      </w:r>
      <w:r w:rsidR="00C763D1" w:rsidRPr="00716193">
        <w:rPr>
          <w:rFonts w:eastAsia="Calibri"/>
          <w:lang w:eastAsia="en-US"/>
        </w:rPr>
        <w:t>решения от СД в тази връзка; липса на</w:t>
      </w:r>
      <w:r w:rsidR="0079523F" w:rsidRPr="00716193">
        <w:rPr>
          <w:rFonts w:eastAsia="Calibri"/>
          <w:lang w:eastAsia="en-US"/>
        </w:rPr>
        <w:t xml:space="preserve"> утвърдени органиграми</w:t>
      </w:r>
      <w:r w:rsidR="00C763D1" w:rsidRPr="00716193">
        <w:rPr>
          <w:rFonts w:eastAsia="Calibri"/>
          <w:lang w:eastAsia="en-US"/>
        </w:rPr>
        <w:t>;</w:t>
      </w:r>
      <w:r w:rsidR="004D40EF" w:rsidRPr="00716193">
        <w:rPr>
          <w:rFonts w:eastAsia="Calibri"/>
          <w:lang w:eastAsia="en-US"/>
        </w:rPr>
        <w:t xml:space="preserve"> и </w:t>
      </w:r>
      <w:r w:rsidR="00D34D9F" w:rsidRPr="00716193">
        <w:rPr>
          <w:rFonts w:eastAsia="Calibri"/>
          <w:lang w:eastAsia="en-US"/>
        </w:rPr>
        <w:t>не</w:t>
      </w:r>
      <w:r w:rsidR="00C763D1" w:rsidRPr="00716193">
        <w:rPr>
          <w:rFonts w:eastAsia="Calibri"/>
          <w:lang w:eastAsia="en-US"/>
        </w:rPr>
        <w:t>актуализиране на</w:t>
      </w:r>
      <w:r w:rsidR="0079523F" w:rsidRPr="00716193">
        <w:rPr>
          <w:rFonts w:eastAsia="Calibri"/>
          <w:lang w:eastAsia="en-US"/>
        </w:rPr>
        <w:t xml:space="preserve"> Правилника за устройството и дейността на </w:t>
      </w:r>
      <w:r w:rsidR="004D40EF" w:rsidRPr="00716193">
        <w:rPr>
          <w:rFonts w:eastAsia="Calibri"/>
          <w:lang w:eastAsia="en-US"/>
        </w:rPr>
        <w:t>„НСБ“ ЕАД, в съ</w:t>
      </w:r>
      <w:r w:rsidR="00D34D9F" w:rsidRPr="00716193">
        <w:rPr>
          <w:rFonts w:eastAsia="Calibri"/>
          <w:lang w:eastAsia="en-US"/>
        </w:rPr>
        <w:t>о</w:t>
      </w:r>
      <w:r w:rsidR="004D40EF" w:rsidRPr="00716193">
        <w:rPr>
          <w:rFonts w:eastAsia="Calibri"/>
          <w:lang w:eastAsia="en-US"/>
        </w:rPr>
        <w:t>тветствие с извършените организационни промени.</w:t>
      </w:r>
      <w:r w:rsidR="00805F98" w:rsidRPr="00716193">
        <w:tab/>
      </w:r>
    </w:p>
    <w:p w:rsidR="00962CEB" w:rsidRPr="00716193" w:rsidRDefault="00805F98" w:rsidP="004D40EF">
      <w:pPr>
        <w:pStyle w:val="NoSpacing"/>
        <w:jc w:val="both"/>
        <w:rPr>
          <w:rFonts w:eastAsia="Calibri"/>
          <w:lang w:eastAsia="en-US"/>
        </w:rPr>
      </w:pPr>
      <w:r w:rsidRPr="00716193">
        <w:rPr>
          <w:i/>
        </w:rPr>
        <w:tab/>
      </w:r>
      <w:r w:rsidRPr="00716193">
        <w:t xml:space="preserve">Уставът на </w:t>
      </w:r>
      <w:r w:rsidR="00615BEF" w:rsidRPr="00716193">
        <w:t>„</w:t>
      </w:r>
      <w:r w:rsidRPr="00716193">
        <w:t>НСБ</w:t>
      </w:r>
      <w:r w:rsidR="00615BEF" w:rsidRPr="00716193">
        <w:t>“</w:t>
      </w:r>
      <w:r w:rsidRPr="00716193">
        <w:t xml:space="preserve"> ЕАД не съдържа пълната информация за структурата на капитала, включваща паричните  и непаричните вноски в него</w:t>
      </w:r>
      <w:r w:rsidR="00464AB7" w:rsidRPr="00716193">
        <w:t>, което е в несъответствие с нормативните изисквания</w:t>
      </w:r>
      <w:r w:rsidRPr="00716193">
        <w:t>.</w:t>
      </w:r>
      <w:r w:rsidRPr="00716193">
        <w:rPr>
          <w:rFonts w:eastAsia="Calibri"/>
          <w:lang w:eastAsia="en-US"/>
        </w:rPr>
        <w:t xml:space="preserve"> </w:t>
      </w:r>
    </w:p>
    <w:p w:rsidR="00805F98" w:rsidRPr="00716193" w:rsidRDefault="00805F98" w:rsidP="00805F98">
      <w:pPr>
        <w:pStyle w:val="NoSpacing"/>
        <w:jc w:val="both"/>
        <w:rPr>
          <w:rFonts w:eastAsia="Calibri"/>
          <w:lang w:eastAsia="en-US"/>
        </w:rPr>
      </w:pPr>
      <w:r w:rsidRPr="00716193">
        <w:rPr>
          <w:spacing w:val="-2"/>
        </w:rPr>
        <w:lastRenderedPageBreak/>
        <w:tab/>
      </w:r>
      <w:r w:rsidR="00615BEF" w:rsidRPr="00716193">
        <w:rPr>
          <w:spacing w:val="-2"/>
        </w:rPr>
        <w:t>„</w:t>
      </w:r>
      <w:r w:rsidRPr="00716193">
        <w:rPr>
          <w:spacing w:val="-2"/>
        </w:rPr>
        <w:t>НСБ</w:t>
      </w:r>
      <w:r w:rsidR="00615BEF" w:rsidRPr="00716193">
        <w:rPr>
          <w:spacing w:val="-2"/>
        </w:rPr>
        <w:t>“</w:t>
      </w:r>
      <w:r w:rsidRPr="00716193">
        <w:rPr>
          <w:spacing w:val="-2"/>
        </w:rPr>
        <w:t xml:space="preserve"> ЕАД работи в условията на не</w:t>
      </w:r>
      <w:r w:rsidRPr="00716193">
        <w:t>утвърдена Стратегия за развитие на дружеството и</w:t>
      </w:r>
      <w:r w:rsidRPr="00716193">
        <w:rPr>
          <w:spacing w:val="-2"/>
        </w:rPr>
        <w:t xml:space="preserve"> неодобрени бизнес програми – дългосрочни и годишни</w:t>
      </w:r>
      <w:r w:rsidRPr="00716193">
        <w:rPr>
          <w:rFonts w:eastAsia="Calibri"/>
          <w:lang w:eastAsia="en-US"/>
        </w:rPr>
        <w:t>, в несъответствие с правната рамка и договорите за възлагане управлението на дружеството.</w:t>
      </w:r>
    </w:p>
    <w:p w:rsidR="00CA08E4" w:rsidRPr="00716193" w:rsidRDefault="00805F98" w:rsidP="00CA08E4">
      <w:pPr>
        <w:jc w:val="both"/>
        <w:rPr>
          <w:spacing w:val="-2"/>
        </w:rPr>
      </w:pPr>
      <w:r w:rsidRPr="00716193">
        <w:rPr>
          <w:rFonts w:eastAsia="Calibri"/>
          <w:i/>
          <w:lang w:eastAsia="en-US"/>
        </w:rPr>
        <w:tab/>
      </w:r>
      <w:r w:rsidR="00CA08E4" w:rsidRPr="00716193">
        <w:rPr>
          <w:bCs/>
        </w:rPr>
        <w:t>Дружеството</w:t>
      </w:r>
      <w:r w:rsidR="00CA08E4" w:rsidRPr="00716193">
        <w:rPr>
          <w:b/>
          <w:bCs/>
        </w:rPr>
        <w:t xml:space="preserve"> </w:t>
      </w:r>
      <w:r w:rsidR="00CA08E4" w:rsidRPr="00716193">
        <w:t xml:space="preserve">намалява приходите си и увеличава разходите си за дейността през 2014 г. спрямо 2013 г., като по-голям е темпът на нарастване на разходите спрямо </w:t>
      </w:r>
      <w:r w:rsidR="001D64A8" w:rsidRPr="00716193">
        <w:t xml:space="preserve">този </w:t>
      </w:r>
      <w:r w:rsidR="00CA08E4" w:rsidRPr="00716193">
        <w:t>на намаляване на приходите; г</w:t>
      </w:r>
      <w:r w:rsidR="00CA08E4" w:rsidRPr="00716193">
        <w:rPr>
          <w:bCs/>
        </w:rPr>
        <w:t xml:space="preserve">одишният </w:t>
      </w:r>
      <w:r w:rsidR="00CA08E4" w:rsidRPr="00716193">
        <w:rPr>
          <w:spacing w:val="-2"/>
        </w:rPr>
        <w:t xml:space="preserve">финансов резултат е отрицателен, като годишната загуба за 2014 г. нараства с 29 </w:t>
      </w:r>
      <w:r w:rsidR="001D64A8" w:rsidRPr="00716193">
        <w:rPr>
          <w:spacing w:val="-2"/>
        </w:rPr>
        <w:t xml:space="preserve">на сто </w:t>
      </w:r>
      <w:r w:rsidR="00CA08E4" w:rsidRPr="00716193">
        <w:rPr>
          <w:spacing w:val="-2"/>
        </w:rPr>
        <w:t xml:space="preserve">спрямо 2013 г.; размерът на вземанията и размерът на задълженията нарастват през 2014 г. спрямо </w:t>
      </w:r>
      <w:r w:rsidR="001D64A8" w:rsidRPr="00716193">
        <w:rPr>
          <w:spacing w:val="-2"/>
        </w:rPr>
        <w:t>предходната година</w:t>
      </w:r>
      <w:r w:rsidR="00CA08E4" w:rsidRPr="00716193">
        <w:rPr>
          <w:spacing w:val="-2"/>
        </w:rPr>
        <w:t>.</w:t>
      </w:r>
    </w:p>
    <w:p w:rsidR="00CA08E4" w:rsidRPr="00716193" w:rsidRDefault="00CA08E4" w:rsidP="00317862">
      <w:pPr>
        <w:ind w:firstLine="720"/>
        <w:jc w:val="both"/>
      </w:pPr>
      <w:r w:rsidRPr="00716193">
        <w:rPr>
          <w:spacing w:val="-2"/>
        </w:rPr>
        <w:t>Въпреки установената тенденция на финансова дестабилизация през одитирания период, д</w:t>
      </w:r>
      <w:r w:rsidRPr="00716193">
        <w:t xml:space="preserve">ружеството не е финансово зависимо от кредитори, финансира се изключително за сметка на собствени средства, </w:t>
      </w:r>
      <w:r w:rsidRPr="00716193">
        <w:rPr>
          <w:rFonts w:eastAsia="Calibri"/>
          <w:lang w:eastAsia="en-US"/>
        </w:rPr>
        <w:t xml:space="preserve">в ликвидно състояние е, позволяващо своевременно и в пълен обем да изпълни своите краткосрочни задължения за сметка на текущите си активи, </w:t>
      </w:r>
      <w:r w:rsidRPr="00716193">
        <w:t>запазва финансовата си автономност и има нисък финансов риск.</w:t>
      </w:r>
    </w:p>
    <w:p w:rsidR="00EE369F" w:rsidRPr="00716193" w:rsidRDefault="00C33533" w:rsidP="00EE369F">
      <w:pPr>
        <w:ind w:firstLine="720"/>
        <w:jc w:val="both"/>
      </w:pPr>
      <w:r w:rsidRPr="00716193">
        <w:t xml:space="preserve">През одитирания период </w:t>
      </w:r>
      <w:r w:rsidR="005F5650" w:rsidRPr="00716193">
        <w:t xml:space="preserve">в </w:t>
      </w:r>
      <w:r w:rsidRPr="00716193">
        <w:t xml:space="preserve">дружеството има утвърдени редица вътрешни актове за изграждане на СФУК, като са допуснати известни пропуски относно някои от елементите й. Липсва „Етичен кодекс“, „Правилникът за устройството и дейността на „НСБ“ ЕАД“ не е актуализиран в съответствие с организационната структура, и няма назначен финансов контрольор през по-голямата част от периода. </w:t>
      </w:r>
      <w:r w:rsidR="00EE369F" w:rsidRPr="00716193">
        <w:t xml:space="preserve">Състоянието на СФУК в изследваната област е добро, но през одитирания период СФУК </w:t>
      </w:r>
      <w:r w:rsidRPr="00716193">
        <w:t>н</w:t>
      </w:r>
      <w:r w:rsidR="00EE369F" w:rsidRPr="00716193">
        <w:t xml:space="preserve">е </w:t>
      </w:r>
      <w:r w:rsidRPr="00716193">
        <w:t xml:space="preserve">е </w:t>
      </w:r>
      <w:r w:rsidR="00EE369F" w:rsidRPr="00716193">
        <w:t>достатъчно ефективна</w:t>
      </w:r>
      <w:r w:rsidRPr="00716193">
        <w:t>, тъй като</w:t>
      </w:r>
      <w:r w:rsidR="00D628AC" w:rsidRPr="00716193">
        <w:t xml:space="preserve"> контролните дейности не са предотвратили </w:t>
      </w:r>
      <w:r w:rsidRPr="00716193">
        <w:t>горепосочените несъответствия с правната рамка</w:t>
      </w:r>
      <w:r w:rsidR="005F5650" w:rsidRPr="00716193">
        <w:t xml:space="preserve"> и договорите</w:t>
      </w:r>
      <w:r w:rsidR="00EE369F" w:rsidRPr="00716193">
        <w:t>.</w:t>
      </w:r>
    </w:p>
    <w:p w:rsidR="00317862" w:rsidRPr="00716193" w:rsidRDefault="00317862" w:rsidP="00317862">
      <w:pPr>
        <w:ind w:firstLine="720"/>
        <w:jc w:val="both"/>
      </w:pPr>
      <w:r w:rsidRPr="00716193">
        <w:t xml:space="preserve">В област на изследване </w:t>
      </w:r>
      <w:r w:rsidRPr="00716193">
        <w:rPr>
          <w:b/>
        </w:rPr>
        <w:t>„Управление на имуществото“</w:t>
      </w:r>
      <w:r w:rsidR="00965FD2" w:rsidRPr="00716193">
        <w:t xml:space="preserve"> съществуват</w:t>
      </w:r>
      <w:r w:rsidR="00A94850" w:rsidRPr="00716193">
        <w:t xml:space="preserve"> несъответствия </w:t>
      </w:r>
      <w:r w:rsidR="002D67A7" w:rsidRPr="00716193">
        <w:t>в някои</w:t>
      </w:r>
      <w:r w:rsidR="000C097A" w:rsidRPr="00716193">
        <w:t xml:space="preserve"> </w:t>
      </w:r>
      <w:r w:rsidR="00A94850" w:rsidRPr="00716193">
        <w:t>съществени аспекти</w:t>
      </w:r>
      <w:r w:rsidRPr="00716193">
        <w:t>:</w:t>
      </w:r>
    </w:p>
    <w:p w:rsidR="00CA08E4" w:rsidRPr="00716193" w:rsidRDefault="00CA08E4" w:rsidP="00CA08E4">
      <w:pPr>
        <w:pStyle w:val="NoSpacing"/>
        <w:jc w:val="both"/>
        <w:rPr>
          <w:color w:val="000000"/>
        </w:rPr>
      </w:pPr>
      <w:r w:rsidRPr="00716193">
        <w:rPr>
          <w:i/>
          <w:color w:val="000000"/>
        </w:rPr>
        <w:tab/>
      </w:r>
      <w:r w:rsidR="00EC679D" w:rsidRPr="00716193">
        <w:rPr>
          <w:color w:val="000000"/>
        </w:rPr>
        <w:t xml:space="preserve">От проверените </w:t>
      </w:r>
      <w:r w:rsidR="00EC679D" w:rsidRPr="00716193">
        <w:t xml:space="preserve">45 сключени през одитирания период договори за отдаване под наем на </w:t>
      </w:r>
      <w:r w:rsidR="000250EE" w:rsidRPr="00716193">
        <w:t>дълготрайни материални активи (</w:t>
      </w:r>
      <w:r w:rsidR="00EC679D" w:rsidRPr="00716193">
        <w:t>ДМА</w:t>
      </w:r>
      <w:r w:rsidR="000250EE" w:rsidRPr="00716193">
        <w:t>)</w:t>
      </w:r>
      <w:r w:rsidR="00EC679D" w:rsidRPr="00716193">
        <w:t>, 8</w:t>
      </w:r>
      <w:r w:rsidR="00EC679D" w:rsidRPr="00716193">
        <w:rPr>
          <w:i/>
          <w:color w:val="000000"/>
        </w:rPr>
        <w:t xml:space="preserve"> </w:t>
      </w:r>
      <w:r w:rsidR="00EC679D" w:rsidRPr="00716193">
        <w:rPr>
          <w:color w:val="000000"/>
        </w:rPr>
        <w:t>са</w:t>
      </w:r>
      <w:r w:rsidRPr="00716193">
        <w:rPr>
          <w:color w:val="000000"/>
        </w:rPr>
        <w:t xml:space="preserve"> с</w:t>
      </w:r>
      <w:r w:rsidRPr="00716193">
        <w:rPr>
          <w:rStyle w:val="Strong"/>
          <w:b w:val="0"/>
        </w:rPr>
        <w:t>ключ</w:t>
      </w:r>
      <w:r w:rsidR="00EC679D" w:rsidRPr="00716193">
        <w:rPr>
          <w:rStyle w:val="Strong"/>
          <w:b w:val="0"/>
        </w:rPr>
        <w:t>ени</w:t>
      </w:r>
      <w:r w:rsidRPr="00716193">
        <w:rPr>
          <w:rStyle w:val="Strong"/>
          <w:b w:val="0"/>
        </w:rPr>
        <w:t xml:space="preserve"> без спазване на реда за отдаване под наем</w:t>
      </w:r>
      <w:r w:rsidR="00130F00" w:rsidRPr="00716193">
        <w:rPr>
          <w:rStyle w:val="Strong"/>
          <w:b w:val="0"/>
        </w:rPr>
        <w:t>,</w:t>
      </w:r>
      <w:r w:rsidRPr="00716193">
        <w:rPr>
          <w:rStyle w:val="Strong"/>
          <w:b w:val="0"/>
        </w:rPr>
        <w:t xml:space="preserve"> п</w:t>
      </w:r>
      <w:r w:rsidR="00130F00" w:rsidRPr="00716193">
        <w:rPr>
          <w:rStyle w:val="Strong"/>
          <w:b w:val="0"/>
        </w:rPr>
        <w:t>редвиден</w:t>
      </w:r>
      <w:r w:rsidR="00E807F0" w:rsidRPr="00716193">
        <w:rPr>
          <w:rStyle w:val="Strong"/>
          <w:b w:val="0"/>
        </w:rPr>
        <w:t xml:space="preserve"> </w:t>
      </w:r>
      <w:r w:rsidR="00130F00" w:rsidRPr="00716193">
        <w:rPr>
          <w:rStyle w:val="Strong"/>
          <w:b w:val="0"/>
        </w:rPr>
        <w:t>в</w:t>
      </w:r>
      <w:r w:rsidRPr="00716193">
        <w:rPr>
          <w:rStyle w:val="Strong"/>
          <w:b w:val="0"/>
        </w:rPr>
        <w:t xml:space="preserve"> </w:t>
      </w:r>
      <w:r w:rsidR="00DD1C07" w:rsidRPr="00716193">
        <w:t xml:space="preserve">„Правилника за реда за упражняване правата на държавата в търговските дружества с държавно участие в капитала“ </w:t>
      </w:r>
      <w:r w:rsidR="00DD1C07" w:rsidRPr="00716193">
        <w:rPr>
          <w:lang w:val="en-US"/>
        </w:rPr>
        <w:t>(</w:t>
      </w:r>
      <w:r w:rsidRPr="00716193">
        <w:rPr>
          <w:rStyle w:val="Strong"/>
          <w:b w:val="0"/>
        </w:rPr>
        <w:t>ПРУПДТДДУК</w:t>
      </w:r>
      <w:r w:rsidR="00DD1C07" w:rsidRPr="00716193">
        <w:rPr>
          <w:rStyle w:val="Strong"/>
          <w:b w:val="0"/>
          <w:lang w:val="en-US"/>
        </w:rPr>
        <w:t>)</w:t>
      </w:r>
      <w:r w:rsidRPr="00716193">
        <w:rPr>
          <w:rStyle w:val="Strong"/>
          <w:b w:val="0"/>
        </w:rPr>
        <w:t>.</w:t>
      </w:r>
      <w:r w:rsidRPr="00716193">
        <w:rPr>
          <w:color w:val="000000"/>
        </w:rPr>
        <w:t xml:space="preserve"> </w:t>
      </w:r>
    </w:p>
    <w:p w:rsidR="00CA08E4" w:rsidRPr="00716193" w:rsidRDefault="00CA08E4" w:rsidP="00CA08E4">
      <w:pPr>
        <w:pStyle w:val="NoSpacing"/>
        <w:jc w:val="both"/>
        <w:rPr>
          <w:bCs/>
          <w:i/>
        </w:rPr>
      </w:pPr>
      <w:r w:rsidRPr="00716193">
        <w:rPr>
          <w:color w:val="000000"/>
        </w:rPr>
        <w:tab/>
        <w:t xml:space="preserve">Сключването на договори със служители на дружеството за предоставяне под наем на жилища, както и на договори за наем в резултат на проведени търгове с тайно наддаване, е в съответствие с изискванията на </w:t>
      </w:r>
      <w:r w:rsidR="00130F00" w:rsidRPr="00716193">
        <w:rPr>
          <w:rStyle w:val="Strong"/>
          <w:b w:val="0"/>
        </w:rPr>
        <w:t>правната рамка</w:t>
      </w:r>
      <w:r w:rsidRPr="00716193">
        <w:rPr>
          <w:rStyle w:val="Strong"/>
          <w:b w:val="0"/>
        </w:rPr>
        <w:t>, с изключение на констатираните несъответствия</w:t>
      </w:r>
      <w:r w:rsidR="007A27F0" w:rsidRPr="00716193">
        <w:rPr>
          <w:rStyle w:val="Strong"/>
          <w:b w:val="0"/>
        </w:rPr>
        <w:t>,</w:t>
      </w:r>
      <w:r w:rsidR="00C71EBE" w:rsidRPr="00716193">
        <w:rPr>
          <w:rStyle w:val="Strong"/>
          <w:b w:val="0"/>
        </w:rPr>
        <w:t xml:space="preserve"> свързани с неспазване на съгласувателни процедури, липса на изискуема информация в р</w:t>
      </w:r>
      <w:r w:rsidR="007A27F0" w:rsidRPr="00716193">
        <w:rPr>
          <w:rStyle w:val="Strong"/>
          <w:b w:val="0"/>
        </w:rPr>
        <w:t>ешения на търговеца и заповеди</w:t>
      </w:r>
      <w:r w:rsidR="00C71EBE" w:rsidRPr="00716193">
        <w:rPr>
          <w:rStyle w:val="Strong"/>
          <w:b w:val="0"/>
        </w:rPr>
        <w:t xml:space="preserve"> за назначаване</w:t>
      </w:r>
      <w:r w:rsidR="00CE4785" w:rsidRPr="00716193">
        <w:rPr>
          <w:rStyle w:val="Strong"/>
          <w:b w:val="0"/>
        </w:rPr>
        <w:t xml:space="preserve"> на комисия</w:t>
      </w:r>
      <w:r w:rsidRPr="00716193">
        <w:rPr>
          <w:rStyle w:val="Strong"/>
          <w:b w:val="0"/>
        </w:rPr>
        <w:t>.</w:t>
      </w:r>
      <w:r w:rsidRPr="00716193">
        <w:rPr>
          <w:color w:val="000000"/>
        </w:rPr>
        <w:t xml:space="preserve"> </w:t>
      </w:r>
    </w:p>
    <w:p w:rsidR="00CA08E4" w:rsidRPr="00716193" w:rsidRDefault="00CA08E4" w:rsidP="00CA08E4">
      <w:pPr>
        <w:pStyle w:val="NoSpacing"/>
        <w:jc w:val="both"/>
        <w:rPr>
          <w:rStyle w:val="Strong"/>
          <w:b w:val="0"/>
        </w:rPr>
      </w:pPr>
      <w:r w:rsidRPr="00716193">
        <w:rPr>
          <w:color w:val="000000"/>
        </w:rPr>
        <w:tab/>
      </w:r>
      <w:r w:rsidR="00DB47E1" w:rsidRPr="00716193">
        <w:rPr>
          <w:color w:val="000000"/>
        </w:rPr>
        <w:t>По реда на пряко договаряне е с</w:t>
      </w:r>
      <w:r w:rsidRPr="00716193">
        <w:t>ключен договор, съгласно който наемната цена е по-ниска от определената от лицензиран оценител начална наемна цена, и договор без разрешение на едноличния собственик на капитала за част от ДМА, в несъответствие с</w:t>
      </w:r>
      <w:r w:rsidRPr="00716193">
        <w:rPr>
          <w:color w:val="000000"/>
        </w:rPr>
        <w:t xml:space="preserve"> </w:t>
      </w:r>
      <w:r w:rsidRPr="00716193">
        <w:rPr>
          <w:rStyle w:val="Strong"/>
          <w:b w:val="0"/>
        </w:rPr>
        <w:t>ПРУПДТДДУК и вътрешните актове.</w:t>
      </w:r>
    </w:p>
    <w:p w:rsidR="00CA08E4" w:rsidRPr="00716193" w:rsidRDefault="00CA08E4" w:rsidP="00CA08E4">
      <w:pPr>
        <w:pStyle w:val="NoSpacing"/>
        <w:jc w:val="both"/>
      </w:pPr>
      <w:r w:rsidRPr="00716193">
        <w:rPr>
          <w:i/>
          <w:color w:val="000000"/>
        </w:rPr>
        <w:tab/>
      </w:r>
      <w:r w:rsidRPr="00716193">
        <w:rPr>
          <w:color w:val="000000"/>
        </w:rPr>
        <w:t xml:space="preserve">Не е извършван ежегоден анализ на възможностите за отдаване под наем на активи на </w:t>
      </w:r>
      <w:r w:rsidR="00732676" w:rsidRPr="00716193">
        <w:rPr>
          <w:color w:val="000000"/>
        </w:rPr>
        <w:t>„</w:t>
      </w:r>
      <w:r w:rsidRPr="00716193">
        <w:rPr>
          <w:color w:val="000000"/>
        </w:rPr>
        <w:t>НСБ</w:t>
      </w:r>
      <w:r w:rsidR="00732676" w:rsidRPr="00716193">
        <w:rPr>
          <w:color w:val="000000"/>
        </w:rPr>
        <w:t>“</w:t>
      </w:r>
      <w:r w:rsidRPr="00716193">
        <w:rPr>
          <w:color w:val="000000"/>
        </w:rPr>
        <w:t xml:space="preserve"> ЕАД и предварителен контрол </w:t>
      </w:r>
      <w:r w:rsidRPr="00716193">
        <w:t xml:space="preserve">по процедурите за отдаване под наем, с което не са спазени изисквания на утвърден вътрешен акт и </w:t>
      </w:r>
      <w:r w:rsidR="00622699" w:rsidRPr="00716193">
        <w:t>е създаден риск за</w:t>
      </w:r>
      <w:r w:rsidRPr="00716193">
        <w:t xml:space="preserve"> </w:t>
      </w:r>
      <w:r w:rsidR="009A720D" w:rsidRPr="00716193">
        <w:t>незаконосъобразни действия</w:t>
      </w:r>
      <w:r w:rsidRPr="00716193">
        <w:t xml:space="preserve"> във връзка с провеждане на процедури</w:t>
      </w:r>
      <w:r w:rsidR="007B3FAC" w:rsidRPr="00716193">
        <w:t xml:space="preserve"> за </w:t>
      </w:r>
      <w:r w:rsidR="00622699" w:rsidRPr="00716193">
        <w:t>отдаване под</w:t>
      </w:r>
      <w:r w:rsidRPr="00716193">
        <w:t xml:space="preserve"> наем на активи на дружеството през одитирания период</w:t>
      </w:r>
      <w:r w:rsidR="00622699" w:rsidRPr="00716193">
        <w:t>, който се е реализирал</w:t>
      </w:r>
      <w:r w:rsidRPr="00716193">
        <w:t>.</w:t>
      </w:r>
    </w:p>
    <w:p w:rsidR="00CA08E4" w:rsidRPr="00716193" w:rsidRDefault="00CA08E4" w:rsidP="00CA08E4">
      <w:pPr>
        <w:pStyle w:val="NoSpacing"/>
        <w:jc w:val="both"/>
        <w:rPr>
          <w:bCs/>
        </w:rPr>
      </w:pPr>
      <w:r w:rsidRPr="00716193">
        <w:rPr>
          <w:i/>
        </w:rPr>
        <w:tab/>
      </w:r>
      <w:r w:rsidRPr="00716193">
        <w:t xml:space="preserve"> В действащите през одитирания период вътрешни актове, регламентиращи </w:t>
      </w:r>
      <w:r w:rsidRPr="00716193">
        <w:rPr>
          <w:bCs/>
        </w:rPr>
        <w:t xml:space="preserve">реда за отдаване под наем на дълготрайни активи и/или движими вещи, собственост на </w:t>
      </w:r>
      <w:r w:rsidR="00615BEF" w:rsidRPr="00716193">
        <w:rPr>
          <w:bCs/>
        </w:rPr>
        <w:t>„</w:t>
      </w:r>
      <w:r w:rsidRPr="00716193">
        <w:rPr>
          <w:bCs/>
        </w:rPr>
        <w:t>НСБ</w:t>
      </w:r>
      <w:r w:rsidR="00615BEF" w:rsidRPr="00716193">
        <w:rPr>
          <w:bCs/>
        </w:rPr>
        <w:t>“</w:t>
      </w:r>
      <w:r w:rsidRPr="00716193">
        <w:rPr>
          <w:bCs/>
        </w:rPr>
        <w:t xml:space="preserve"> ЕАД, не се съдържат конкретни изисквания за срокове, отговорни звена/лица, дейности и документи във връзка с извършването на предварителен и текущ контрол на процедурите за отдаване под наем.</w:t>
      </w:r>
    </w:p>
    <w:p w:rsidR="00CA08E4" w:rsidRPr="00716193" w:rsidRDefault="00CA08E4" w:rsidP="00CA08E4">
      <w:pPr>
        <w:pStyle w:val="NoSpacing"/>
        <w:jc w:val="both"/>
        <w:rPr>
          <w:color w:val="000000"/>
        </w:rPr>
      </w:pPr>
      <w:r w:rsidRPr="00716193">
        <w:rPr>
          <w:bCs/>
          <w:i/>
        </w:rPr>
        <w:t xml:space="preserve"> </w:t>
      </w:r>
      <w:r w:rsidRPr="00716193">
        <w:rPr>
          <w:rStyle w:val="Strong"/>
        </w:rPr>
        <w:tab/>
      </w:r>
      <w:r w:rsidRPr="00716193">
        <w:rPr>
          <w:color w:val="000000"/>
        </w:rPr>
        <w:t xml:space="preserve">Не са предприети действия за начисляване на </w:t>
      </w:r>
      <w:r w:rsidRPr="00716193">
        <w:t xml:space="preserve">неустойки </w:t>
      </w:r>
      <w:r w:rsidRPr="00716193">
        <w:rPr>
          <w:lang w:val="en-US"/>
        </w:rPr>
        <w:t>(</w:t>
      </w:r>
      <w:r w:rsidRPr="00716193">
        <w:t>лихви</w:t>
      </w:r>
      <w:r w:rsidRPr="00716193">
        <w:rPr>
          <w:lang w:val="en-US"/>
        </w:rPr>
        <w:t>)</w:t>
      </w:r>
      <w:r w:rsidRPr="00716193">
        <w:t xml:space="preserve">, съгласно клаузи в договорите за наем, </w:t>
      </w:r>
      <w:r w:rsidRPr="00716193">
        <w:rPr>
          <w:color w:val="000000"/>
        </w:rPr>
        <w:t>във връзка с установени забавяния при плащането на наемн</w:t>
      </w:r>
      <w:r w:rsidR="00D73576" w:rsidRPr="00716193">
        <w:rPr>
          <w:color w:val="000000"/>
        </w:rPr>
        <w:t>и</w:t>
      </w:r>
      <w:r w:rsidRPr="00716193">
        <w:rPr>
          <w:color w:val="000000"/>
        </w:rPr>
        <w:t xml:space="preserve"> цен</w:t>
      </w:r>
      <w:r w:rsidR="00D73576" w:rsidRPr="00716193">
        <w:rPr>
          <w:color w:val="000000"/>
        </w:rPr>
        <w:t>и</w:t>
      </w:r>
      <w:r w:rsidR="00C91F8C" w:rsidRPr="00716193">
        <w:rPr>
          <w:color w:val="000000"/>
        </w:rPr>
        <w:t xml:space="preserve"> от наемателите</w:t>
      </w:r>
      <w:r w:rsidRPr="00716193">
        <w:rPr>
          <w:color w:val="000000"/>
        </w:rPr>
        <w:t>.</w:t>
      </w:r>
    </w:p>
    <w:p w:rsidR="00EC679D" w:rsidRPr="00716193" w:rsidRDefault="00A94850" w:rsidP="00C91F8C">
      <w:pPr>
        <w:jc w:val="both"/>
      </w:pPr>
      <w:r w:rsidRPr="00716193">
        <w:rPr>
          <w:color w:val="000000"/>
        </w:rPr>
        <w:lastRenderedPageBreak/>
        <w:tab/>
      </w:r>
      <w:r w:rsidRPr="00716193">
        <w:t xml:space="preserve">Състоянието на СФУК в изследваната област </w:t>
      </w:r>
      <w:r w:rsidR="00534EA9" w:rsidRPr="00716193">
        <w:t>не е добро и същата не е ефективна, тъй като</w:t>
      </w:r>
      <w:r w:rsidRPr="00716193">
        <w:t xml:space="preserve"> през одитирания период </w:t>
      </w:r>
      <w:r w:rsidR="00534EA9" w:rsidRPr="00716193">
        <w:t>липсват достатъчни и адекватни контроли, които да предотвратят допуснатите несъответствия в изследваната област.</w:t>
      </w:r>
      <w:r w:rsidR="00C91F8C" w:rsidRPr="00716193">
        <w:tab/>
      </w:r>
    </w:p>
    <w:p w:rsidR="00C91F8C" w:rsidRPr="00716193" w:rsidRDefault="00C91F8C" w:rsidP="00453E80">
      <w:pPr>
        <w:ind w:firstLine="708"/>
        <w:jc w:val="both"/>
      </w:pPr>
      <w:r w:rsidRPr="00716193">
        <w:t xml:space="preserve">В област на изследване </w:t>
      </w:r>
      <w:r w:rsidRPr="00716193">
        <w:rPr>
          <w:b/>
        </w:rPr>
        <w:t>„Управленски решения, свързани с възлагане на обществени поръчки“</w:t>
      </w:r>
      <w:r w:rsidR="00965FD2" w:rsidRPr="00716193">
        <w:t xml:space="preserve"> съществуват</w:t>
      </w:r>
      <w:r w:rsidR="00453E80" w:rsidRPr="00716193">
        <w:t xml:space="preserve"> несъответствия </w:t>
      </w:r>
      <w:r w:rsidR="00182A0E" w:rsidRPr="00716193">
        <w:t>в някои</w:t>
      </w:r>
      <w:r w:rsidR="00453E80" w:rsidRPr="00716193">
        <w:t xml:space="preserve"> съществени аспекти</w:t>
      </w:r>
      <w:r w:rsidR="00123DC9" w:rsidRPr="00716193">
        <w:t>:</w:t>
      </w:r>
    </w:p>
    <w:p w:rsidR="00C80298" w:rsidRPr="00716193" w:rsidRDefault="00C91F8C" w:rsidP="00965FD2">
      <w:pPr>
        <w:ind w:firstLine="708"/>
        <w:jc w:val="both"/>
      </w:pPr>
      <w:r w:rsidRPr="00716193">
        <w:t xml:space="preserve">През </w:t>
      </w:r>
      <w:r w:rsidR="00965FD2" w:rsidRPr="00716193">
        <w:t>одитирания период</w:t>
      </w:r>
      <w:r w:rsidR="007F21BA" w:rsidRPr="00716193">
        <w:t xml:space="preserve"> </w:t>
      </w:r>
      <w:r w:rsidRPr="00716193">
        <w:t xml:space="preserve">не е извършвано възлагане на обществените поръчки, основано на планиране, съгласно изискванията на </w:t>
      </w:r>
      <w:r w:rsidR="00123DC9" w:rsidRPr="00716193">
        <w:t xml:space="preserve">„Вътрешните  правила за провеждане на процедури по възлагане на обществени поръчки в „Национална спортна база” ЕАД“,  действащи през по-голямата част от </w:t>
      </w:r>
      <w:r w:rsidR="00965FD2" w:rsidRPr="00716193">
        <w:t>периода</w:t>
      </w:r>
      <w:r w:rsidR="00C80298" w:rsidRPr="00716193">
        <w:rPr>
          <w:i/>
        </w:rPr>
        <w:t xml:space="preserve">, </w:t>
      </w:r>
      <w:r w:rsidR="00C80298" w:rsidRPr="00716193">
        <w:t>с което е създаден риск за неправилна преценка на необходимостта от провеждане на процедури/поръчки и на вида им.</w:t>
      </w:r>
    </w:p>
    <w:p w:rsidR="00C91F8C" w:rsidRPr="00716193" w:rsidRDefault="00C91F8C" w:rsidP="00C91F8C">
      <w:pPr>
        <w:ind w:firstLine="708"/>
        <w:jc w:val="both"/>
      </w:pPr>
      <w:r w:rsidRPr="00716193">
        <w:t>Взети са управленски решения за извършването на значителен брой промени в структурата и щатното разписание на длъжностите, отговорни за провеждане и документиране н</w:t>
      </w:r>
      <w:r w:rsidR="00490ACA" w:rsidRPr="00716193">
        <w:t>а обществени</w:t>
      </w:r>
      <w:r w:rsidR="009532CF" w:rsidRPr="00716193">
        <w:t>те</w:t>
      </w:r>
      <w:r w:rsidR="00490ACA" w:rsidRPr="00716193">
        <w:t xml:space="preserve"> поръчки</w:t>
      </w:r>
      <w:r w:rsidRPr="00716193">
        <w:t xml:space="preserve"> по ЗОП, както и за предварителния контрол преди поемане на задължение и извършване на разход</w:t>
      </w:r>
      <w:r w:rsidR="00CF06A2" w:rsidRPr="00716193">
        <w:t>, като</w:t>
      </w:r>
      <w:r w:rsidRPr="00716193">
        <w:t xml:space="preserve"> в</w:t>
      </w:r>
      <w:r w:rsidRPr="00716193">
        <w:rPr>
          <w:iCs/>
        </w:rPr>
        <w:t xml:space="preserve">ътрешните правила за обществените поръчки, </w:t>
      </w:r>
      <w:r w:rsidRPr="00716193">
        <w:rPr>
          <w:iCs/>
          <w:lang w:eastAsia="en-US"/>
        </w:rPr>
        <w:t>не са актуализирани</w:t>
      </w:r>
      <w:r w:rsidR="00CF06A2" w:rsidRPr="00716193">
        <w:rPr>
          <w:iCs/>
          <w:lang w:eastAsia="en-US"/>
        </w:rPr>
        <w:t xml:space="preserve"> в съответствие с промените</w:t>
      </w:r>
      <w:r w:rsidRPr="00716193">
        <w:rPr>
          <w:iCs/>
          <w:lang w:eastAsia="en-US"/>
        </w:rPr>
        <w:t xml:space="preserve">. </w:t>
      </w:r>
      <w:r w:rsidR="00CF06A2" w:rsidRPr="00716193">
        <w:t xml:space="preserve">След закриването на длъжностите, пряко ангажирани с подготовката и провеждането на обществените поръчки, е </w:t>
      </w:r>
      <w:r w:rsidR="00CF06A2" w:rsidRPr="00716193">
        <w:rPr>
          <w:iCs/>
          <w:lang w:eastAsia="en-US"/>
        </w:rPr>
        <w:t>с</w:t>
      </w:r>
      <w:r w:rsidRPr="00716193">
        <w:rPr>
          <w:iCs/>
          <w:lang w:eastAsia="en-US"/>
        </w:rPr>
        <w:t>ключен</w:t>
      </w:r>
      <w:r w:rsidR="007065EC" w:rsidRPr="00716193">
        <w:rPr>
          <w:iCs/>
          <w:lang w:eastAsia="en-US"/>
        </w:rPr>
        <w:t xml:space="preserve"> </w:t>
      </w:r>
      <w:r w:rsidRPr="00716193">
        <w:rPr>
          <w:iCs/>
          <w:lang w:eastAsia="en-US"/>
        </w:rPr>
        <w:t xml:space="preserve">консултантски договор за </w:t>
      </w:r>
      <w:r w:rsidRPr="00716193">
        <w:t>предоставяне на консултации по конкретни заявки в сферата на обществените поръчки</w:t>
      </w:r>
      <w:r w:rsidR="00CF06A2" w:rsidRPr="00716193">
        <w:t>, предметът на който</w:t>
      </w:r>
      <w:r w:rsidRPr="00716193">
        <w:t xml:space="preserve"> не покрива в достатъчна степен дейността по възлагане на обществените поръчки в дружеството и документирането й, в съответствие с изискванията на ЗОП и вътрешните правила.  </w:t>
      </w:r>
    </w:p>
    <w:p w:rsidR="00C91F8C" w:rsidRPr="00716193" w:rsidRDefault="00C91F8C" w:rsidP="00C91F8C">
      <w:pPr>
        <w:ind w:firstLine="708"/>
        <w:jc w:val="both"/>
      </w:pPr>
      <w:r w:rsidRPr="00716193">
        <w:t xml:space="preserve">С решение на възложителя през одитирания период са открити 4 процедури за възлагане на обществени поръчки на основание чл. 16, ал. 8 от ЗОП. Две от процедурите, които са изключени от обхвата на одитната задача, са прекратени. При тях са налице съдебни спорове, приключили със съдебно решение. </w:t>
      </w:r>
    </w:p>
    <w:p w:rsidR="00C91F8C" w:rsidRPr="00716193" w:rsidRDefault="00C91F8C" w:rsidP="00C91F8C">
      <w:pPr>
        <w:tabs>
          <w:tab w:val="left" w:pos="720"/>
          <w:tab w:val="left" w:pos="9360"/>
        </w:tabs>
        <w:jc w:val="both"/>
      </w:pPr>
      <w:r w:rsidRPr="00716193">
        <w:rPr>
          <w:b/>
          <w:i/>
        </w:rPr>
        <w:tab/>
      </w:r>
      <w:r w:rsidRPr="00716193">
        <w:t>Проверени са две процедури за възлагане на обществени поръчки по реда на ЗОП, едната от които е завършила със сключване на договор, а другата е прекратена, поради невъзможност за финансирането й по причини, които възложителят не е могъл да предвиди. Установени са отклонения</w:t>
      </w:r>
      <w:r w:rsidR="007607D9" w:rsidRPr="00716193">
        <w:t xml:space="preserve"> от нормативните изисквания</w:t>
      </w:r>
      <w:r w:rsidRPr="00716193">
        <w:t xml:space="preserve">, както следва: в законоустановения срок не е изпратена информация за един сключен договор до </w:t>
      </w:r>
      <w:r w:rsidR="003D62BC" w:rsidRPr="00716193">
        <w:t>Агенцията по обществени поръчки (</w:t>
      </w:r>
      <w:r w:rsidRPr="00716193">
        <w:t>АОП</w:t>
      </w:r>
      <w:r w:rsidR="003D62BC" w:rsidRPr="00716193">
        <w:t>)</w:t>
      </w:r>
      <w:r w:rsidRPr="00716193">
        <w:t>, гаранциите за участие на участници в процедурите са възстановени след законоустановения срок, до участниците в една от процедурите не е изпратено уведомление за прекратяването й.</w:t>
      </w:r>
    </w:p>
    <w:p w:rsidR="00C91F8C" w:rsidRPr="00716193" w:rsidRDefault="00C91F8C" w:rsidP="00C91F8C">
      <w:pPr>
        <w:tabs>
          <w:tab w:val="left" w:pos="720"/>
          <w:tab w:val="left" w:pos="9360"/>
        </w:tabs>
        <w:ind w:firstLine="709"/>
        <w:jc w:val="both"/>
        <w:rPr>
          <w:bCs/>
        </w:rPr>
      </w:pPr>
      <w:r w:rsidRPr="00716193">
        <w:t xml:space="preserve">За одитирания период са проведени </w:t>
      </w:r>
      <w:r w:rsidR="00EC685D" w:rsidRPr="00716193">
        <w:t>две</w:t>
      </w:r>
      <w:r w:rsidRPr="00716193">
        <w:t xml:space="preserve"> обществени поръчки чрез публична покана по реда на глава осма „а“ от ЗОП, като всяка от тях е приключила с договор</w:t>
      </w:r>
      <w:r w:rsidR="00CF06A2" w:rsidRPr="00716193">
        <w:t>/и</w:t>
      </w:r>
      <w:r w:rsidRPr="00716193">
        <w:t xml:space="preserve"> за възлагане. </w:t>
      </w:r>
      <w:r w:rsidR="009C2B32" w:rsidRPr="00716193">
        <w:t>Установ</w:t>
      </w:r>
      <w:r w:rsidR="00790EAA" w:rsidRPr="00716193">
        <w:t>ено е,</w:t>
      </w:r>
      <w:r w:rsidR="009C2B32" w:rsidRPr="00716193">
        <w:t xml:space="preserve"> че </w:t>
      </w:r>
      <w:r w:rsidR="007607D9" w:rsidRPr="00716193">
        <w:t xml:space="preserve">поръчките </w:t>
      </w:r>
      <w:r w:rsidR="009C2B32" w:rsidRPr="00716193">
        <w:t>са</w:t>
      </w:r>
      <w:r w:rsidR="00CF06A2" w:rsidRPr="00716193">
        <w:t xml:space="preserve"> възложени</w:t>
      </w:r>
      <w:r w:rsidR="009C2B32" w:rsidRPr="00716193">
        <w:t xml:space="preserve"> в съответствие с нормативните изисквания и въведения с вътрешните актове ред, с изключение на </w:t>
      </w:r>
      <w:r w:rsidR="00B9539A" w:rsidRPr="00716193">
        <w:t>непредставяне на удостоверения по чл. 47, ал. 1, т. 1 от ЗОП за лицата по чл. 47, ал. 4 от същия закон при сключване на договори със съответните изпълнители</w:t>
      </w:r>
      <w:r w:rsidR="007065EC" w:rsidRPr="00716193">
        <w:t xml:space="preserve"> по едно от възлаганията</w:t>
      </w:r>
      <w:r w:rsidR="00B9539A" w:rsidRPr="00716193">
        <w:t>.</w:t>
      </w:r>
      <w:r w:rsidR="00B9539A" w:rsidRPr="00716193" w:rsidDel="00B9539A">
        <w:t xml:space="preserve"> </w:t>
      </w:r>
      <w:r w:rsidR="00B9539A" w:rsidRPr="00716193">
        <w:t>Н</w:t>
      </w:r>
      <w:r w:rsidR="009C2B32" w:rsidRPr="00716193">
        <w:t>е</w:t>
      </w:r>
      <w:r w:rsidR="00B9539A" w:rsidRPr="00716193">
        <w:t xml:space="preserve"> е </w:t>
      </w:r>
      <w:r w:rsidR="009C2B32" w:rsidRPr="00716193">
        <w:t>изпра</w:t>
      </w:r>
      <w:r w:rsidR="00B9539A" w:rsidRPr="00716193">
        <w:t>т</w:t>
      </w:r>
      <w:r w:rsidR="009C2B32" w:rsidRPr="00716193">
        <w:t>е</w:t>
      </w:r>
      <w:r w:rsidR="00B9539A" w:rsidRPr="00716193">
        <w:t>на</w:t>
      </w:r>
      <w:r w:rsidR="009C2B32" w:rsidRPr="00716193">
        <w:t xml:space="preserve"> от възложителяобобщената информация за възложените поръчки по чл. 14,</w:t>
      </w:r>
      <w:r w:rsidR="000F5FBB" w:rsidRPr="00716193">
        <w:rPr>
          <w:lang w:val="en-US"/>
        </w:rPr>
        <w:t xml:space="preserve"> </w:t>
      </w:r>
      <w:r w:rsidR="009C2B32" w:rsidRPr="00716193">
        <w:t xml:space="preserve">ал. 4 и ал. 5 от ЗОП за 2013 г. </w:t>
      </w:r>
    </w:p>
    <w:p w:rsidR="00DC27B1" w:rsidRPr="00716193" w:rsidRDefault="00C91F8C" w:rsidP="00DC27B1">
      <w:pPr>
        <w:pStyle w:val="NormalWeb"/>
        <w:spacing w:before="0" w:beforeAutospacing="0" w:after="0" w:afterAutospacing="0"/>
        <w:ind w:firstLine="708"/>
        <w:jc w:val="both"/>
        <w:rPr>
          <w:i/>
        </w:rPr>
      </w:pPr>
      <w:r w:rsidRPr="00716193">
        <w:t xml:space="preserve">От „НСБ“ ЕАД е създаден профил на купувача, като обособена част от електронната страница на дружеството, в съответствие с изискванията на ЗОП, в сила от 01.10.2014 г., с изключение на </w:t>
      </w:r>
      <w:r w:rsidR="00C71EBE" w:rsidRPr="00716193">
        <w:t>констатираните</w:t>
      </w:r>
      <w:r w:rsidRPr="00716193">
        <w:t xml:space="preserve"> несъответствия</w:t>
      </w:r>
      <w:r w:rsidR="00DC27B1" w:rsidRPr="00716193">
        <w:t xml:space="preserve"> по отношение на липсваща информация за идентификационен номер на всяка поръчка, дата на създаването на електронните преписки и дата на публикуване на съответната информация или документ, което затруднява установяването на спазването на сроковете за публикуване на информацията по чл. 22б, ал. 4 от ЗОП.</w:t>
      </w:r>
      <w:r w:rsidR="00DC27B1" w:rsidRPr="00716193">
        <w:rPr>
          <w:i/>
        </w:rPr>
        <w:t xml:space="preserve"> </w:t>
      </w:r>
    </w:p>
    <w:p w:rsidR="00C91F8C" w:rsidRPr="00716193" w:rsidRDefault="00C91F8C" w:rsidP="00C91F8C">
      <w:pPr>
        <w:pStyle w:val="NormalWeb"/>
        <w:spacing w:before="0" w:beforeAutospacing="0" w:after="0" w:afterAutospacing="0"/>
        <w:ind w:firstLine="708"/>
        <w:jc w:val="both"/>
      </w:pPr>
      <w:r w:rsidRPr="00716193">
        <w:t>При проверката и анализ</w:t>
      </w:r>
      <w:r w:rsidR="00FB3305" w:rsidRPr="00716193">
        <w:t>а</w:t>
      </w:r>
      <w:r w:rsidRPr="00716193">
        <w:t xml:space="preserve"> на сключени през одитирания период договори за доставки, услуги и строително - монтажни работи за нуждите на „НСБ” ЕАД, е установено </w:t>
      </w:r>
      <w:r w:rsidRPr="00716193">
        <w:lastRenderedPageBreak/>
        <w:t>незаконосъобразно сключване на договори, стойността на които е изисквала възлагане по реда и условията на ЗОП</w:t>
      </w:r>
      <w:r w:rsidR="00C1498D" w:rsidRPr="00716193">
        <w:t>, но не е спазен приложимия ред</w:t>
      </w:r>
      <w:r w:rsidRPr="00716193">
        <w:t xml:space="preserve">. </w:t>
      </w:r>
    </w:p>
    <w:p w:rsidR="00EB1932" w:rsidRPr="00716193" w:rsidRDefault="00453E80" w:rsidP="0006601A">
      <w:pPr>
        <w:pStyle w:val="Default"/>
        <w:ind w:firstLine="708"/>
        <w:jc w:val="both"/>
      </w:pPr>
      <w:r w:rsidRPr="00716193">
        <w:t>Състоянието на С</w:t>
      </w:r>
      <w:r w:rsidR="00363961" w:rsidRPr="00716193">
        <w:t xml:space="preserve">ФУК в изследваната област е </w:t>
      </w:r>
      <w:r w:rsidR="000D681E" w:rsidRPr="00716193">
        <w:t>недобр</w:t>
      </w:r>
      <w:r w:rsidR="00363961" w:rsidRPr="00716193">
        <w:t>о</w:t>
      </w:r>
      <w:r w:rsidRPr="00716193">
        <w:t xml:space="preserve">, </w:t>
      </w:r>
      <w:r w:rsidR="0006601A" w:rsidRPr="00716193">
        <w:t>тъй като в началото на одитирания период липсват писмено въведени контроли, а през останалата част от периода въведените контроли не са прилагани последователно. Взетите управленски решения по отношение на длъжностите, ангажирани с процеса по възлагане на обществените поръчки в дружеството</w:t>
      </w:r>
      <w:r w:rsidR="006950A6" w:rsidRPr="00716193">
        <w:t>,</w:t>
      </w:r>
      <w:r w:rsidR="0006601A" w:rsidRPr="00716193">
        <w:t xml:space="preserve"> показват липса на добро разбиране </w:t>
      </w:r>
      <w:r w:rsidR="006950A6" w:rsidRPr="00716193">
        <w:t xml:space="preserve">за същността и значението на </w:t>
      </w:r>
      <w:r w:rsidR="00481259" w:rsidRPr="00716193">
        <w:t xml:space="preserve">СФУК </w:t>
      </w:r>
      <w:r w:rsidR="006950A6" w:rsidRPr="00716193">
        <w:t>в изследваната област</w:t>
      </w:r>
      <w:r w:rsidR="00481259" w:rsidRPr="00716193">
        <w:t xml:space="preserve">, </w:t>
      </w:r>
      <w:r w:rsidR="00713FE1" w:rsidRPr="00716193">
        <w:t xml:space="preserve">поради </w:t>
      </w:r>
      <w:r w:rsidR="00481259" w:rsidRPr="00716193">
        <w:t xml:space="preserve">което </w:t>
      </w:r>
      <w:r w:rsidR="00713FE1" w:rsidRPr="00716193">
        <w:t>през одитирания период същата не функционира в съответствие с изискванията на ЗФУКПС</w:t>
      </w:r>
      <w:r w:rsidR="00481259" w:rsidRPr="00716193">
        <w:t>.</w:t>
      </w:r>
    </w:p>
    <w:p w:rsidR="00EB1932" w:rsidRPr="00716193" w:rsidRDefault="00FB3305" w:rsidP="00C91F8C">
      <w:pPr>
        <w:pStyle w:val="NormalWeb"/>
        <w:spacing w:before="0" w:beforeAutospacing="0" w:after="0" w:afterAutospacing="0"/>
        <w:ind w:firstLine="708"/>
        <w:jc w:val="both"/>
      </w:pPr>
      <w:r w:rsidRPr="00716193">
        <w:t>В резултат на извършения одит се дават препоръки на министъра на младежта и спорта, в качеството му на едноличен собственик на капитала, на Съвета на директори</w:t>
      </w:r>
      <w:r w:rsidR="004653D8" w:rsidRPr="00716193">
        <w:t>т</w:t>
      </w:r>
      <w:r w:rsidRPr="00716193">
        <w:t>е и на изп</w:t>
      </w:r>
      <w:r w:rsidR="004653D8" w:rsidRPr="00716193">
        <w:t>ъ</w:t>
      </w:r>
      <w:r w:rsidRPr="00716193">
        <w:t xml:space="preserve">лнителния директор на „НСБ“ ЕАД за подобряване дейността на дружеството, подробно описани в част пета „Препоръки“ от настоящия доклад. </w:t>
      </w:r>
    </w:p>
    <w:p w:rsidR="00C91F8C" w:rsidRPr="00716193" w:rsidRDefault="00C91F8C" w:rsidP="00C91F8C">
      <w:pPr>
        <w:tabs>
          <w:tab w:val="left" w:pos="720"/>
          <w:tab w:val="left" w:pos="9360"/>
        </w:tabs>
        <w:ind w:firstLine="709"/>
        <w:jc w:val="both"/>
      </w:pPr>
    </w:p>
    <w:p w:rsidR="00FB3DDD" w:rsidRPr="00716193" w:rsidRDefault="00FB3DDD" w:rsidP="000367EC">
      <w:pPr>
        <w:tabs>
          <w:tab w:val="left" w:pos="720"/>
        </w:tabs>
        <w:spacing w:before="120"/>
        <w:ind w:firstLine="720"/>
        <w:jc w:val="both"/>
        <w:rPr>
          <w:b/>
        </w:rPr>
      </w:pPr>
      <w:r w:rsidRPr="00716193">
        <w:rPr>
          <w:b/>
        </w:rPr>
        <w:t>Част втора</w:t>
      </w:r>
    </w:p>
    <w:p w:rsidR="00FB3DDD" w:rsidRPr="00716193" w:rsidRDefault="00FB3DDD" w:rsidP="000367EC">
      <w:pPr>
        <w:tabs>
          <w:tab w:val="left" w:pos="720"/>
        </w:tabs>
        <w:spacing w:before="120"/>
        <w:ind w:firstLine="720"/>
        <w:jc w:val="both"/>
        <w:rPr>
          <w:b/>
          <w:lang w:val="en-US"/>
        </w:rPr>
      </w:pPr>
      <w:r w:rsidRPr="00716193">
        <w:rPr>
          <w:b/>
        </w:rPr>
        <w:t>ВЪВЕДЕНИЕ</w:t>
      </w:r>
    </w:p>
    <w:p w:rsidR="001102F6" w:rsidRPr="00716193" w:rsidRDefault="001102F6" w:rsidP="001102F6">
      <w:pPr>
        <w:tabs>
          <w:tab w:val="left" w:pos="720"/>
        </w:tabs>
        <w:ind w:firstLine="720"/>
        <w:jc w:val="both"/>
        <w:rPr>
          <w:b/>
          <w:lang w:val="en-US"/>
        </w:rPr>
      </w:pPr>
    </w:p>
    <w:p w:rsidR="00E53673" w:rsidRPr="00716193" w:rsidRDefault="00FA13CC" w:rsidP="001102F6">
      <w:pPr>
        <w:ind w:firstLine="709"/>
        <w:jc w:val="both"/>
        <w:rPr>
          <w:b/>
        </w:rPr>
      </w:pPr>
      <w:r w:rsidRPr="00716193">
        <w:rPr>
          <w:b/>
        </w:rPr>
        <w:t>1</w:t>
      </w:r>
      <w:r w:rsidR="00C71EBE" w:rsidRPr="00716193">
        <w:rPr>
          <w:b/>
        </w:rPr>
        <w:t>.</w:t>
      </w:r>
      <w:r w:rsidR="00E53673" w:rsidRPr="00716193">
        <w:rPr>
          <w:b/>
        </w:rPr>
        <w:t xml:space="preserve"> Основание за извършване на одита </w:t>
      </w:r>
    </w:p>
    <w:p w:rsidR="00E53673" w:rsidRPr="00716193" w:rsidRDefault="00E53673" w:rsidP="001102F6">
      <w:pPr>
        <w:ind w:firstLine="709"/>
        <w:jc w:val="both"/>
        <w:rPr>
          <w:lang w:val="en-US"/>
        </w:rPr>
      </w:pPr>
      <w:r w:rsidRPr="00716193">
        <w:t xml:space="preserve">Одитът е </w:t>
      </w:r>
      <w:r w:rsidR="007E68AE" w:rsidRPr="00716193">
        <w:t xml:space="preserve">извършен </w:t>
      </w:r>
      <w:r w:rsidRPr="00716193">
        <w:t>на основание чл. 12, ал. 1, т. 4 и чл. 35, ал. 1 от Закона за Сметната палата (отм., ДВ</w:t>
      </w:r>
      <w:r w:rsidR="007E68AE" w:rsidRPr="00716193">
        <w:t>,</w:t>
      </w:r>
      <w:r w:rsidRPr="00716193">
        <w:t xml:space="preserve"> бр. 12 от 13.02.2015 г.), </w:t>
      </w:r>
      <w:r w:rsidR="007E68AE" w:rsidRPr="00716193">
        <w:t>О</w:t>
      </w:r>
      <w:r w:rsidRPr="00716193">
        <w:t xml:space="preserve">дитна задача № 424 от Програмата за одитната дейност на Сметната палата за 2015 г. и в изпълнение на </w:t>
      </w:r>
      <w:r w:rsidR="00C71EBE" w:rsidRPr="00716193">
        <w:rPr>
          <w:spacing w:val="-2"/>
        </w:rPr>
        <w:t>Заповед № ОР6-02-001 от 06.01.2015 г. на член на Сметната палата и ръководител на отделение VI -</w:t>
      </w:r>
      <w:r w:rsidR="00B11231" w:rsidRPr="00716193">
        <w:t xml:space="preserve"> </w:t>
      </w:r>
      <w:r w:rsidR="00C71EBE" w:rsidRPr="00716193">
        <w:rPr>
          <w:spacing w:val="-2"/>
        </w:rPr>
        <w:t xml:space="preserve">Дилета Касабова-Токатлиян и Заповед № ОД-06-02-005 от 20.05.2015 г. на Тошко Тодоров - </w:t>
      </w:r>
      <w:r w:rsidR="00B11231" w:rsidRPr="00716193">
        <w:t>заместник–председател на Сметната палата.</w:t>
      </w:r>
    </w:p>
    <w:p w:rsidR="001102F6" w:rsidRPr="00716193" w:rsidRDefault="001102F6" w:rsidP="001102F6">
      <w:pPr>
        <w:ind w:firstLine="709"/>
        <w:jc w:val="both"/>
        <w:rPr>
          <w:lang w:val="en-US"/>
        </w:rPr>
      </w:pPr>
    </w:p>
    <w:p w:rsidR="00E53673" w:rsidRPr="00716193" w:rsidRDefault="00FA13CC" w:rsidP="001102F6">
      <w:pPr>
        <w:ind w:firstLine="720"/>
        <w:rPr>
          <w:b/>
        </w:rPr>
      </w:pPr>
      <w:r w:rsidRPr="00716193">
        <w:rPr>
          <w:b/>
        </w:rPr>
        <w:t>2</w:t>
      </w:r>
      <w:r w:rsidR="00C71EBE" w:rsidRPr="00716193">
        <w:rPr>
          <w:b/>
        </w:rPr>
        <w:t>.</w:t>
      </w:r>
      <w:r w:rsidR="00E53673" w:rsidRPr="00716193">
        <w:rPr>
          <w:b/>
        </w:rPr>
        <w:t xml:space="preserve"> </w:t>
      </w:r>
      <w:r w:rsidR="00C45792" w:rsidRPr="00716193">
        <w:rPr>
          <w:b/>
        </w:rPr>
        <w:t>Информация за одитиран</w:t>
      </w:r>
      <w:r w:rsidR="000367EC" w:rsidRPr="00716193">
        <w:rPr>
          <w:b/>
        </w:rPr>
        <w:t>ия обект</w:t>
      </w:r>
      <w:r w:rsidR="00C45792" w:rsidRPr="00716193">
        <w:rPr>
          <w:b/>
        </w:rPr>
        <w:t xml:space="preserve"> </w:t>
      </w:r>
    </w:p>
    <w:p w:rsidR="00E53673" w:rsidRPr="00716193" w:rsidRDefault="00E53673" w:rsidP="001102F6">
      <w:pPr>
        <w:ind w:firstLine="720"/>
        <w:jc w:val="both"/>
      </w:pPr>
      <w:r w:rsidRPr="00716193">
        <w:t xml:space="preserve">Предмет на одита е ”Национална спортна база” </w:t>
      </w:r>
      <w:r w:rsidR="00C45792" w:rsidRPr="00716193">
        <w:t>ЕАД за периода от 01.01.2013 г. до 31.12.2014 г.</w:t>
      </w:r>
    </w:p>
    <w:p w:rsidR="00940F9D" w:rsidRPr="00716193" w:rsidRDefault="00DF1F75" w:rsidP="007C7B03">
      <w:pPr>
        <w:ind w:firstLine="720"/>
        <w:jc w:val="both"/>
      </w:pPr>
      <w:r w:rsidRPr="00716193">
        <w:t>„</w:t>
      </w:r>
      <w:r w:rsidR="00FC0F06" w:rsidRPr="00716193">
        <w:t>НСБ</w:t>
      </w:r>
      <w:r w:rsidRPr="00716193">
        <w:t>“</w:t>
      </w:r>
      <w:r w:rsidR="00FC0F06" w:rsidRPr="00716193">
        <w:t xml:space="preserve"> ЕАД е търговско дружество</w:t>
      </w:r>
      <w:r w:rsidR="00CD3D18" w:rsidRPr="00716193">
        <w:t xml:space="preserve"> </w:t>
      </w:r>
      <w:r w:rsidR="00FC0F06" w:rsidRPr="00716193">
        <w:t>с държавно у</w:t>
      </w:r>
      <w:r w:rsidR="00B104FA" w:rsidRPr="00716193">
        <w:t xml:space="preserve">частие в капитала по смисъла на </w:t>
      </w:r>
      <w:r w:rsidR="00FC0F06" w:rsidRPr="00716193">
        <w:t xml:space="preserve">чл. 64, ал. 1, т. 4 от Търговския закон </w:t>
      </w:r>
      <w:r w:rsidR="00FC0F06" w:rsidRPr="00716193">
        <w:rPr>
          <w:lang w:val="en-US"/>
        </w:rPr>
        <w:t>(</w:t>
      </w:r>
      <w:r w:rsidR="00FC0F06" w:rsidRPr="00716193">
        <w:t>ТЗ</w:t>
      </w:r>
      <w:r w:rsidR="00FC0F06" w:rsidRPr="00716193">
        <w:rPr>
          <w:lang w:val="en-US"/>
        </w:rPr>
        <w:t>)</w:t>
      </w:r>
      <w:r w:rsidR="00FC0F06" w:rsidRPr="00716193">
        <w:t xml:space="preserve"> и чл. 3, ал. 1 от </w:t>
      </w:r>
      <w:r w:rsidR="00AB1AFE" w:rsidRPr="00716193">
        <w:rPr>
          <w:rStyle w:val="Strong"/>
          <w:b w:val="0"/>
        </w:rPr>
        <w:t>ПРУПДТДДУК</w:t>
      </w:r>
      <w:r w:rsidR="00FC0F06" w:rsidRPr="00716193">
        <w:t xml:space="preserve">. </w:t>
      </w:r>
      <w:r w:rsidR="007C7B03" w:rsidRPr="00716193">
        <w:t xml:space="preserve">Седалището и адресът на управление на </w:t>
      </w:r>
      <w:r w:rsidR="0055251F" w:rsidRPr="00716193">
        <w:t>дружеството</w:t>
      </w:r>
      <w:r w:rsidR="007C7B03" w:rsidRPr="00716193">
        <w:t xml:space="preserve"> е гр. София, район </w:t>
      </w:r>
      <w:r w:rsidR="00790EAA" w:rsidRPr="00716193">
        <w:t>„</w:t>
      </w:r>
      <w:r w:rsidR="007C7B03" w:rsidRPr="00716193">
        <w:t>Средец</w:t>
      </w:r>
      <w:r w:rsidR="00790EAA" w:rsidRPr="00716193">
        <w:t>“</w:t>
      </w:r>
      <w:r w:rsidR="007C7B03" w:rsidRPr="00716193">
        <w:t>, бул.</w:t>
      </w:r>
      <w:r w:rsidR="00790EAA" w:rsidRPr="00716193">
        <w:t xml:space="preserve"> </w:t>
      </w:r>
      <w:r w:rsidR="007C7B03" w:rsidRPr="00716193">
        <w:t>“Евлоги Георгиев“ № 38.</w:t>
      </w:r>
    </w:p>
    <w:p w:rsidR="00342AC3" w:rsidRPr="00716193" w:rsidRDefault="00940F9D" w:rsidP="007C7B03">
      <w:pPr>
        <w:ind w:firstLine="720"/>
        <w:jc w:val="both"/>
      </w:pPr>
      <w:r w:rsidRPr="00716193">
        <w:t xml:space="preserve">„Национална спортна база“ ЕАД е </w:t>
      </w:r>
      <w:r w:rsidR="007F6E86" w:rsidRPr="00716193">
        <w:t>учредено</w:t>
      </w:r>
      <w:r w:rsidRPr="00716193">
        <w:t xml:space="preserve"> чрез преобразуване на Стопанска организация „Спортни имоти и прояви“ – София</w:t>
      </w:r>
      <w:r w:rsidR="0055251F" w:rsidRPr="00716193">
        <w:t>,</w:t>
      </w:r>
      <w:r w:rsidRPr="00716193">
        <w:t xml:space="preserve"> в еднолично акционерно дружество с държавно имущество, въз основа на Разпореждане № 13 на Министерски съвет от 29 март 1993 г.</w:t>
      </w:r>
      <w:r w:rsidR="003D13B4" w:rsidRPr="00716193">
        <w:rPr>
          <w:rStyle w:val="FootnoteReference"/>
        </w:rPr>
        <w:footnoteReference w:id="1"/>
      </w:r>
      <w:r w:rsidR="007C7B03" w:rsidRPr="00716193">
        <w:t xml:space="preserve"> </w:t>
      </w:r>
      <w:r w:rsidR="00342AC3" w:rsidRPr="00716193">
        <w:t xml:space="preserve">Дружеството е регистрирано с </w:t>
      </w:r>
      <w:r w:rsidR="007A5C46" w:rsidRPr="00716193">
        <w:t>Р</w:t>
      </w:r>
      <w:r w:rsidR="00342AC3" w:rsidRPr="00716193">
        <w:t xml:space="preserve">ешение </w:t>
      </w:r>
      <w:r w:rsidR="007A5C46" w:rsidRPr="00716193">
        <w:t xml:space="preserve">от 14.05.1993 г. </w:t>
      </w:r>
      <w:r w:rsidR="00342AC3" w:rsidRPr="00716193">
        <w:t xml:space="preserve">на </w:t>
      </w:r>
      <w:r w:rsidR="007A5C46" w:rsidRPr="00716193">
        <w:t>Софийски градски съд</w:t>
      </w:r>
      <w:r w:rsidR="00064C83" w:rsidRPr="00716193">
        <w:rPr>
          <w:rStyle w:val="FootnoteReference"/>
        </w:rPr>
        <w:footnoteReference w:id="2"/>
      </w:r>
      <w:r w:rsidR="007A5C46" w:rsidRPr="00716193">
        <w:t xml:space="preserve"> </w:t>
      </w:r>
      <w:r w:rsidR="00342AC3" w:rsidRPr="00716193">
        <w:t>по фирмено дело № 12589</w:t>
      </w:r>
      <w:r w:rsidR="007A5C46" w:rsidRPr="00716193">
        <w:t>/</w:t>
      </w:r>
      <w:r w:rsidR="00342AC3" w:rsidRPr="00716193">
        <w:t>1993 и е пререгистрирано по Закона за търговския регистър и вписано в Търговския регистър към Агенцията по вписванията с ЕИК 831635354.</w:t>
      </w:r>
    </w:p>
    <w:p w:rsidR="003D13B4" w:rsidRPr="00716193" w:rsidRDefault="003D13B4" w:rsidP="003D13B4">
      <w:pPr>
        <w:ind w:firstLine="720"/>
        <w:jc w:val="both"/>
      </w:pPr>
      <w:r w:rsidRPr="00716193">
        <w:t xml:space="preserve">Едноличен собственик на капитала на </w:t>
      </w:r>
      <w:r w:rsidR="00DF1F75" w:rsidRPr="00716193">
        <w:t>„</w:t>
      </w:r>
      <w:r w:rsidRPr="00716193">
        <w:t>НСБ</w:t>
      </w:r>
      <w:r w:rsidR="00DF1F75" w:rsidRPr="00716193">
        <w:t>“</w:t>
      </w:r>
      <w:r w:rsidRPr="00716193">
        <w:t xml:space="preserve"> ЕАД е държавата. Министърът на </w:t>
      </w:r>
      <w:r w:rsidR="00CF54D3" w:rsidRPr="00716193">
        <w:t>младежта и спорта</w:t>
      </w:r>
      <w:r w:rsidRPr="00716193">
        <w:t xml:space="preserve"> упражнява правата на държавата като едноличен собственик на капитала на дружеството.</w:t>
      </w:r>
      <w:r w:rsidR="00E83FB2" w:rsidRPr="00716193">
        <w:rPr>
          <w:rStyle w:val="FootnoteReference"/>
        </w:rPr>
        <w:footnoteReference w:id="3"/>
      </w:r>
      <w:r w:rsidRPr="00716193">
        <w:t xml:space="preserve"> С Решение на </w:t>
      </w:r>
      <w:r w:rsidR="00CF54D3" w:rsidRPr="00716193">
        <w:t xml:space="preserve">42-то </w:t>
      </w:r>
      <w:r w:rsidRPr="00716193">
        <w:t>Народно събрание</w:t>
      </w:r>
      <w:r w:rsidR="00CF54D3" w:rsidRPr="00716193">
        <w:t>, прието на 29</w:t>
      </w:r>
      <w:r w:rsidRPr="00716193">
        <w:t xml:space="preserve"> май </w:t>
      </w:r>
      <w:r w:rsidR="00612B18" w:rsidRPr="00716193">
        <w:br/>
      </w:r>
      <w:r w:rsidRPr="00716193">
        <w:t>2013 г.</w:t>
      </w:r>
      <w:r w:rsidR="00CF54D3" w:rsidRPr="00716193">
        <w:t>,</w:t>
      </w:r>
      <w:r w:rsidR="005E7BC0" w:rsidRPr="00716193">
        <w:t xml:space="preserve"> </w:t>
      </w:r>
      <w:r w:rsidRPr="00716193">
        <w:t xml:space="preserve">за приемане структурата на Министерския съвет на Република България, </w:t>
      </w:r>
      <w:r w:rsidRPr="00716193">
        <w:lastRenderedPageBreak/>
        <w:t xml:space="preserve">Министерството на </w:t>
      </w:r>
      <w:r w:rsidR="00CF54D3" w:rsidRPr="00716193">
        <w:t xml:space="preserve">физическото възпитание и спорта е </w:t>
      </w:r>
      <w:r w:rsidRPr="00716193">
        <w:t xml:space="preserve">преобразувано в Министерство на </w:t>
      </w:r>
      <w:r w:rsidR="00CF54D3" w:rsidRPr="00716193">
        <w:t>младежта и спорта.</w:t>
      </w:r>
      <w:r w:rsidRPr="00716193">
        <w:rPr>
          <w:rStyle w:val="FootnoteReference"/>
        </w:rPr>
        <w:footnoteReference w:id="4"/>
      </w:r>
    </w:p>
    <w:p w:rsidR="001A0796" w:rsidRPr="00716193" w:rsidRDefault="00B3130E" w:rsidP="00B3130E">
      <w:pPr>
        <w:ind w:firstLine="720"/>
        <w:jc w:val="both"/>
      </w:pPr>
      <w:r w:rsidRPr="00716193">
        <w:t xml:space="preserve">Регистрираният капитал на дружеството е в размер на 211 987 954 </w:t>
      </w:r>
      <w:r w:rsidR="00B606BA" w:rsidRPr="00716193">
        <w:t>акции от по 1 лев за всяка една.</w:t>
      </w:r>
      <w:r w:rsidRPr="00716193">
        <w:t xml:space="preserve"> Той е формиран въз основа на </w:t>
      </w:r>
      <w:r w:rsidR="006E4BCF" w:rsidRPr="00716193">
        <w:t>направени парични и непарични вноски</w:t>
      </w:r>
      <w:r w:rsidR="00732CA6" w:rsidRPr="00716193">
        <w:t xml:space="preserve"> от държавата</w:t>
      </w:r>
      <w:r w:rsidR="006E4BCF" w:rsidRPr="00716193">
        <w:t xml:space="preserve">, </w:t>
      </w:r>
      <w:r w:rsidR="00D06F3A" w:rsidRPr="00716193">
        <w:t>някои от които</w:t>
      </w:r>
      <w:r w:rsidR="00E26671" w:rsidRPr="00716193">
        <w:t xml:space="preserve"> не</w:t>
      </w:r>
      <w:r w:rsidR="00D06F3A" w:rsidRPr="00716193">
        <w:t xml:space="preserve"> </w:t>
      </w:r>
      <w:r w:rsidR="00FE1517" w:rsidRPr="00716193">
        <w:t xml:space="preserve">са </w:t>
      </w:r>
      <w:r w:rsidR="006E4BCF" w:rsidRPr="00716193">
        <w:t>описани в Устава на дружеството.</w:t>
      </w:r>
      <w:r w:rsidR="006E4BCF" w:rsidRPr="00716193">
        <w:rPr>
          <w:rStyle w:val="FootnoteReference"/>
        </w:rPr>
        <w:footnoteReference w:id="5"/>
      </w:r>
    </w:p>
    <w:p w:rsidR="00C45792" w:rsidRPr="00716193" w:rsidRDefault="001A0796" w:rsidP="001A0796">
      <w:pPr>
        <w:ind w:firstLine="720"/>
        <w:jc w:val="both"/>
      </w:pPr>
      <w:r w:rsidRPr="00716193">
        <w:t xml:space="preserve">Предмет на дейност на </w:t>
      </w:r>
      <w:r w:rsidR="00DF1F75" w:rsidRPr="00716193">
        <w:t>„</w:t>
      </w:r>
      <w:r w:rsidRPr="00716193">
        <w:t>НСБ</w:t>
      </w:r>
      <w:r w:rsidR="00DF1F75" w:rsidRPr="00716193">
        <w:t>“</w:t>
      </w:r>
      <w:r w:rsidRPr="00716193">
        <w:t xml:space="preserve"> ЕАД е</w:t>
      </w:r>
      <w:r w:rsidR="008B55FF" w:rsidRPr="00716193">
        <w:t>:</w:t>
      </w:r>
      <w:r w:rsidRPr="00716193">
        <w:t xml:space="preserve"> обслужване на български и чуждестранни национални и клубни отбори, </w:t>
      </w:r>
      <w:r w:rsidR="004A21A2" w:rsidRPr="00716193">
        <w:t>маркетинг на спортни и други прояви</w:t>
      </w:r>
      <w:r w:rsidRPr="00716193">
        <w:t xml:space="preserve">, </w:t>
      </w:r>
      <w:r w:rsidR="004A21A2" w:rsidRPr="00716193">
        <w:t>спортни услуги на населението</w:t>
      </w:r>
      <w:r w:rsidRPr="00716193">
        <w:t xml:space="preserve">, </w:t>
      </w:r>
      <w:r w:rsidR="004A21A2" w:rsidRPr="00716193">
        <w:t>рекламна и информационна дейност</w:t>
      </w:r>
      <w:r w:rsidRPr="00716193">
        <w:t xml:space="preserve">, </w:t>
      </w:r>
      <w:r w:rsidR="004A21A2" w:rsidRPr="00716193">
        <w:t>съпътстващи производства и услуги</w:t>
      </w:r>
      <w:r w:rsidRPr="00716193">
        <w:t>,</w:t>
      </w:r>
      <w:r w:rsidR="004A21A2" w:rsidRPr="00716193">
        <w:t xml:space="preserve"> трансфер на спортисти и спортно ноу-хау</w:t>
      </w:r>
      <w:r w:rsidRPr="00716193">
        <w:t>,</w:t>
      </w:r>
      <w:r w:rsidR="004A21A2" w:rsidRPr="00716193">
        <w:t xml:space="preserve"> научно обслужване на спорта</w:t>
      </w:r>
      <w:r w:rsidRPr="00716193">
        <w:t xml:space="preserve">, </w:t>
      </w:r>
      <w:r w:rsidR="004A21A2" w:rsidRPr="00716193">
        <w:t>вътрешен и международен спортен туризъм, хотелиерство и ресторантьорство</w:t>
      </w:r>
      <w:r w:rsidRPr="00716193">
        <w:t>,</w:t>
      </w:r>
      <w:r w:rsidR="004A21A2" w:rsidRPr="00716193">
        <w:t xml:space="preserve"> организиране на спортно стокова борса и на игри на щастието</w:t>
      </w:r>
      <w:r w:rsidRPr="00716193">
        <w:t xml:space="preserve">, </w:t>
      </w:r>
      <w:r w:rsidR="008B55FF" w:rsidRPr="00716193">
        <w:t xml:space="preserve">отдаване под наем на спортни уреди, спортни съоръжения и прилежащите към тях помещения и на други дълготрайни материални активи, </w:t>
      </w:r>
      <w:r w:rsidR="004A21A2" w:rsidRPr="00716193">
        <w:t>както и други дейности</w:t>
      </w:r>
      <w:r w:rsidRPr="00716193">
        <w:t>,</w:t>
      </w:r>
      <w:r w:rsidR="004A21A2" w:rsidRPr="00716193">
        <w:t xml:space="preserve"> незабранени от закона.</w:t>
      </w:r>
    </w:p>
    <w:p w:rsidR="008775F3" w:rsidRPr="00716193" w:rsidRDefault="008775F3" w:rsidP="008775F3">
      <w:pPr>
        <w:pStyle w:val="FootnoteText"/>
        <w:jc w:val="both"/>
      </w:pPr>
      <w:r w:rsidRPr="00716193">
        <w:tab/>
      </w:r>
      <w:r w:rsidRPr="00716193">
        <w:rPr>
          <w:sz w:val="24"/>
          <w:szCs w:val="24"/>
        </w:rPr>
        <w:t>Основната дейност на дружеството е свързана с продажба на хотелски услуги, услуги със спортни съоръжения, отдаване под наем на прилежащи помещения и площи, продажба на продукция в ресторантьорството, на хранителни и нехранителни готови стоки и други.</w:t>
      </w:r>
    </w:p>
    <w:p w:rsidR="002D70F9" w:rsidRPr="00716193" w:rsidRDefault="00DF1F75">
      <w:pPr>
        <w:ind w:firstLine="720"/>
        <w:jc w:val="both"/>
      </w:pPr>
      <w:r w:rsidRPr="00716193">
        <w:t>„</w:t>
      </w:r>
      <w:r w:rsidR="00994476" w:rsidRPr="00716193">
        <w:t>НСБ</w:t>
      </w:r>
      <w:r w:rsidRPr="00716193">
        <w:t>“</w:t>
      </w:r>
      <w:r w:rsidR="00994476" w:rsidRPr="00716193">
        <w:t xml:space="preserve"> ЕАД има едностепенна система на управление. Орган</w:t>
      </w:r>
      <w:r w:rsidR="00B91683" w:rsidRPr="00716193">
        <w:t>и</w:t>
      </w:r>
      <w:r w:rsidR="00994476" w:rsidRPr="00716193">
        <w:t xml:space="preserve"> за управление на дружеството </w:t>
      </w:r>
      <w:r w:rsidR="00B91683" w:rsidRPr="00716193">
        <w:t>са</w:t>
      </w:r>
      <w:r w:rsidR="00994476" w:rsidRPr="00716193">
        <w:t xml:space="preserve"> СД</w:t>
      </w:r>
      <w:r w:rsidR="00B91683" w:rsidRPr="00716193">
        <w:t xml:space="preserve"> и едноличният собственик на капитала</w:t>
      </w:r>
      <w:r w:rsidR="00994476" w:rsidRPr="00716193">
        <w:t xml:space="preserve">. </w:t>
      </w:r>
      <w:r w:rsidR="00956887" w:rsidRPr="00716193">
        <w:t xml:space="preserve">Управлението на ТД е възложено с договори за възлагане на управлението, сключени между </w:t>
      </w:r>
      <w:r w:rsidR="00E01DE9" w:rsidRPr="00716193">
        <w:t>м</w:t>
      </w:r>
      <w:r w:rsidR="00956887" w:rsidRPr="00716193">
        <w:t xml:space="preserve">инистъра на </w:t>
      </w:r>
      <w:r w:rsidR="000B156C" w:rsidRPr="00716193">
        <w:t>младежта и спорта</w:t>
      </w:r>
      <w:r w:rsidR="00956887" w:rsidRPr="00716193">
        <w:t>, упражняващ правата на едноличния собственик на капитала, и всеки един от членовете на СД, за срок от 3 години, считано от датата на подписването им</w:t>
      </w:r>
      <w:r w:rsidR="009E316C" w:rsidRPr="00716193">
        <w:rPr>
          <w:rStyle w:val="FootnoteReference"/>
        </w:rPr>
        <w:footnoteReference w:id="6"/>
      </w:r>
      <w:r w:rsidR="000B156C" w:rsidRPr="00716193">
        <w:t xml:space="preserve">. </w:t>
      </w:r>
    </w:p>
    <w:p w:rsidR="00994476" w:rsidRPr="00716193" w:rsidRDefault="003E7BA3" w:rsidP="001A0796">
      <w:pPr>
        <w:ind w:firstLine="720"/>
        <w:jc w:val="both"/>
      </w:pPr>
      <w:r w:rsidRPr="00716193">
        <w:t xml:space="preserve">През одитирания период, изпълнителни директори на дружеството са: </w:t>
      </w:r>
      <w:r w:rsidR="008106C4" w:rsidRPr="00716193">
        <w:t xml:space="preserve">Велина Валентинова Божилова </w:t>
      </w:r>
      <w:r w:rsidRPr="00716193">
        <w:t xml:space="preserve">– от </w:t>
      </w:r>
      <w:r w:rsidR="00E36D01" w:rsidRPr="00716193">
        <w:t>27</w:t>
      </w:r>
      <w:r w:rsidRPr="00716193">
        <w:rPr>
          <w:color w:val="000000"/>
        </w:rPr>
        <w:t>.12.201</w:t>
      </w:r>
      <w:r w:rsidR="00E36D01" w:rsidRPr="00716193">
        <w:rPr>
          <w:color w:val="000000"/>
        </w:rPr>
        <w:t>2</w:t>
      </w:r>
      <w:r w:rsidRPr="00716193">
        <w:rPr>
          <w:color w:val="000000"/>
        </w:rPr>
        <w:t xml:space="preserve"> г. </w:t>
      </w:r>
      <w:r w:rsidRPr="00716193">
        <w:t xml:space="preserve">до </w:t>
      </w:r>
      <w:r w:rsidR="00E36D01" w:rsidRPr="00716193">
        <w:t>2</w:t>
      </w:r>
      <w:r w:rsidR="00CA61EC" w:rsidRPr="00716193">
        <w:t>3</w:t>
      </w:r>
      <w:r w:rsidRPr="00716193">
        <w:t>.0</w:t>
      </w:r>
      <w:r w:rsidR="00E36D01" w:rsidRPr="00716193">
        <w:t>7</w:t>
      </w:r>
      <w:r w:rsidRPr="00716193">
        <w:t>.201</w:t>
      </w:r>
      <w:r w:rsidR="00E36D01" w:rsidRPr="00716193">
        <w:t>3</w:t>
      </w:r>
      <w:r w:rsidRPr="00716193">
        <w:t xml:space="preserve"> г.</w:t>
      </w:r>
      <w:r w:rsidR="00E36D01" w:rsidRPr="00716193">
        <w:t xml:space="preserve">, Марио Кузманов Примджанов – от 24.07.2013 г. до </w:t>
      </w:r>
      <w:r w:rsidR="00CA61EC" w:rsidRPr="00716193">
        <w:t>19</w:t>
      </w:r>
      <w:r w:rsidR="00E36D01" w:rsidRPr="00716193">
        <w:t>.10.2014 г., Николай Ангелов Боршуков – от 20.10.2014 г. до 2</w:t>
      </w:r>
      <w:r w:rsidR="00CA61EC" w:rsidRPr="00716193">
        <w:t>3</w:t>
      </w:r>
      <w:r w:rsidR="00E36D01" w:rsidRPr="00716193">
        <w:t>.10.</w:t>
      </w:r>
      <w:r w:rsidR="007527E9" w:rsidRPr="00716193">
        <w:t xml:space="preserve">2014 г. и Пламен Цветков Манолов – от 30.10.2014 г. до </w:t>
      </w:r>
      <w:r w:rsidR="00017E34" w:rsidRPr="00716193">
        <w:t>31.12.2014 г.</w:t>
      </w:r>
      <w:r w:rsidR="007527E9" w:rsidRPr="00716193">
        <w:rPr>
          <w:rStyle w:val="FootnoteReference"/>
        </w:rPr>
        <w:footnoteReference w:id="7"/>
      </w:r>
      <w:r w:rsidR="00994476" w:rsidRPr="00716193">
        <w:t xml:space="preserve"> </w:t>
      </w:r>
    </w:p>
    <w:p w:rsidR="00D726D4" w:rsidRPr="00716193" w:rsidRDefault="008775F3" w:rsidP="00D726D4">
      <w:pPr>
        <w:ind w:firstLine="720"/>
        <w:jc w:val="both"/>
        <w:rPr>
          <w:spacing w:val="-2"/>
          <w:lang w:val="en-US"/>
        </w:rPr>
      </w:pPr>
      <w:r w:rsidRPr="00716193">
        <w:t xml:space="preserve">Дружеството има утвърдена структура и длъжностно щатно разписание. </w:t>
      </w:r>
      <w:r w:rsidR="00D726D4" w:rsidRPr="00716193">
        <w:t>Организационната структура на дружеството се определя от СД, в съответствие с дейностите, които се осъществяват. Към 31.12.201</w:t>
      </w:r>
      <w:r w:rsidR="00B66FCA" w:rsidRPr="00716193">
        <w:rPr>
          <w:lang w:val="en-US"/>
        </w:rPr>
        <w:t>4</w:t>
      </w:r>
      <w:r w:rsidR="00D726D4" w:rsidRPr="00716193">
        <w:t xml:space="preserve"> г. дружеството има </w:t>
      </w:r>
      <w:r w:rsidR="00D726D4" w:rsidRPr="00716193">
        <w:rPr>
          <w:spacing w:val="-2"/>
        </w:rPr>
        <w:t xml:space="preserve">10 дирекции, </w:t>
      </w:r>
      <w:r w:rsidR="00B71A16" w:rsidRPr="00716193">
        <w:rPr>
          <w:spacing w:val="-2"/>
        </w:rPr>
        <w:t xml:space="preserve">2 </w:t>
      </w:r>
      <w:r w:rsidR="00D726D4" w:rsidRPr="00716193">
        <w:rPr>
          <w:spacing w:val="-2"/>
        </w:rPr>
        <w:t>отдела и 12 обособени самостоятелни звена</w:t>
      </w:r>
      <w:r w:rsidR="00CA59E6" w:rsidRPr="00716193">
        <w:rPr>
          <w:rStyle w:val="FootnoteReference"/>
          <w:spacing w:val="-2"/>
        </w:rPr>
        <w:footnoteReference w:id="8"/>
      </w:r>
      <w:r w:rsidR="00985309" w:rsidRPr="00716193">
        <w:rPr>
          <w:spacing w:val="-2"/>
        </w:rPr>
        <w:t>, а щатните бройки са 287.</w:t>
      </w:r>
      <w:r w:rsidR="00B66FCA" w:rsidRPr="00716193">
        <w:rPr>
          <w:rStyle w:val="FootnoteReference"/>
          <w:spacing w:val="-2"/>
        </w:rPr>
        <w:footnoteReference w:id="9"/>
      </w:r>
    </w:p>
    <w:p w:rsidR="00336600" w:rsidRPr="00716193" w:rsidRDefault="00DF1F75" w:rsidP="00336600">
      <w:pPr>
        <w:ind w:firstLine="720"/>
        <w:jc w:val="both"/>
      </w:pPr>
      <w:r w:rsidRPr="00716193">
        <w:t>„</w:t>
      </w:r>
      <w:r w:rsidR="00336600" w:rsidRPr="00716193">
        <w:t>НСБ</w:t>
      </w:r>
      <w:r w:rsidRPr="00716193">
        <w:t>“</w:t>
      </w:r>
      <w:r w:rsidR="00336600" w:rsidRPr="00716193">
        <w:t xml:space="preserve"> ЕАД е възложител на обществени поръчки по смисъла на чл. 7, т. 3 от ЗОП, като публичноправна организация, и обществените поръчки от името на дружеството следва да се възлагат от изпълнителния директор, в качеството му на лице по чл. 8, ал. 3 от ЗОП. </w:t>
      </w:r>
    </w:p>
    <w:p w:rsidR="007527E9" w:rsidRPr="00716193" w:rsidRDefault="00C71EBE" w:rsidP="002677DC">
      <w:pPr>
        <w:pStyle w:val="BodyTextIndent"/>
        <w:spacing w:after="0"/>
        <w:ind w:left="0" w:firstLine="720"/>
        <w:jc w:val="both"/>
        <w:rPr>
          <w:rFonts w:ascii="Times New Roman" w:hAnsi="Times New Roman" w:cs="Times New Roman"/>
        </w:rPr>
      </w:pPr>
      <w:r w:rsidRPr="00716193">
        <w:rPr>
          <w:rFonts w:ascii="Times New Roman" w:hAnsi="Times New Roman" w:cs="Times New Roman"/>
        </w:rPr>
        <w:t>Отговорност за управленските решения през одитирания период, по смисъла на ТЗ, ПРУПДТДДУК и чл. 6, ал. 1 от Закона за финансово управление и контрол в публичния сектор (ЗФУКПС), носят министърът на младежта и спорта, упражняващ правата на едноличния собственик на капитала, Съветът на директорите на търговското дружество и изпълнителният директор.</w:t>
      </w:r>
      <w:r w:rsidR="007527E9" w:rsidRPr="00716193">
        <w:rPr>
          <w:rFonts w:ascii="Times New Roman" w:hAnsi="Times New Roman" w:cs="Times New Roman"/>
        </w:rPr>
        <w:t xml:space="preserve"> </w:t>
      </w:r>
    </w:p>
    <w:p w:rsidR="002677DC" w:rsidRPr="00716193" w:rsidRDefault="002677DC" w:rsidP="002677DC">
      <w:pPr>
        <w:pStyle w:val="ListParagraph1"/>
        <w:ind w:left="0" w:firstLine="720"/>
        <w:jc w:val="both"/>
        <w:rPr>
          <w:rFonts w:ascii="Times New Roman" w:hAnsi="Times New Roman" w:cs="Times New Roman"/>
          <w:b/>
        </w:rPr>
      </w:pPr>
    </w:p>
    <w:p w:rsidR="005714CB" w:rsidRPr="00716193" w:rsidRDefault="00FA13CC" w:rsidP="002677DC">
      <w:pPr>
        <w:pStyle w:val="ListParagraph1"/>
        <w:ind w:left="0" w:firstLine="720"/>
        <w:jc w:val="both"/>
        <w:rPr>
          <w:rFonts w:ascii="Times New Roman" w:hAnsi="Times New Roman" w:cs="Times New Roman"/>
          <w:b/>
        </w:rPr>
      </w:pPr>
      <w:r w:rsidRPr="00716193">
        <w:rPr>
          <w:rFonts w:ascii="Times New Roman" w:hAnsi="Times New Roman" w:cs="Times New Roman"/>
          <w:b/>
        </w:rPr>
        <w:lastRenderedPageBreak/>
        <w:t>3</w:t>
      </w:r>
      <w:r w:rsidR="00C71EBE" w:rsidRPr="00716193">
        <w:rPr>
          <w:rFonts w:ascii="Times New Roman" w:hAnsi="Times New Roman" w:cs="Times New Roman"/>
          <w:b/>
        </w:rPr>
        <w:t>.</w:t>
      </w:r>
      <w:r w:rsidR="005714CB" w:rsidRPr="00716193">
        <w:rPr>
          <w:rFonts w:ascii="Times New Roman" w:hAnsi="Times New Roman" w:cs="Times New Roman"/>
          <w:b/>
        </w:rPr>
        <w:t xml:space="preserve"> Цели на одита</w:t>
      </w:r>
    </w:p>
    <w:p w:rsidR="00B11231" w:rsidRPr="00716193" w:rsidRDefault="00B11231" w:rsidP="00B11231">
      <w:pPr>
        <w:ind w:firstLine="720"/>
        <w:jc w:val="both"/>
      </w:pPr>
      <w:r w:rsidRPr="00716193">
        <w:t>Целите на одита са:</w:t>
      </w:r>
    </w:p>
    <w:p w:rsidR="00B11231" w:rsidRPr="00716193" w:rsidRDefault="00FA13CC" w:rsidP="00B11231">
      <w:pPr>
        <w:ind w:firstLine="720"/>
        <w:jc w:val="both"/>
      </w:pPr>
      <w:r w:rsidRPr="00716193">
        <w:t>3.</w:t>
      </w:r>
      <w:r w:rsidR="00B11231" w:rsidRPr="00716193">
        <w:t xml:space="preserve">1. Да се оцени съответствието на управленските решения с действащата нормативна уредба, вътрешните документи/актове и договорите в изследваните области, както следва: „Управление на дружеството”, „Управление на имуществото” и „Управленски решения, свързани с възлагане на обществени поръчки”. </w:t>
      </w:r>
    </w:p>
    <w:p w:rsidR="00B11231" w:rsidRPr="00716193" w:rsidRDefault="00FA13CC" w:rsidP="00B11231">
      <w:pPr>
        <w:ind w:firstLine="720"/>
        <w:jc w:val="both"/>
      </w:pPr>
      <w:r w:rsidRPr="00716193">
        <w:t>3.</w:t>
      </w:r>
      <w:r w:rsidR="00B11231" w:rsidRPr="00716193">
        <w:t>2. Да се установи и оцени състоянието на системата за финансово управление и контрол в изследваните области: „Управление на дружеството”, „Управление на имуществото” и „Управленски решения, свързани с възлагане на обществени поръчки”</w:t>
      </w:r>
      <w:r w:rsidR="00B11231" w:rsidRPr="00716193">
        <w:rPr>
          <w:b/>
          <w:i/>
          <w:sz w:val="20"/>
          <w:szCs w:val="20"/>
        </w:rPr>
        <w:t>.</w:t>
      </w:r>
    </w:p>
    <w:p w:rsidR="00F201F7" w:rsidRPr="00716193" w:rsidRDefault="00F201F7" w:rsidP="00F201F7">
      <w:pPr>
        <w:pStyle w:val="ListParagraph1"/>
        <w:ind w:left="0" w:firstLine="720"/>
        <w:jc w:val="both"/>
        <w:rPr>
          <w:rFonts w:ascii="Times New Roman" w:hAnsi="Times New Roman" w:cs="Times New Roman"/>
          <w:b/>
        </w:rPr>
      </w:pPr>
    </w:p>
    <w:p w:rsidR="00B11231" w:rsidRPr="00716193" w:rsidRDefault="00FA13CC" w:rsidP="005714CB">
      <w:pPr>
        <w:pStyle w:val="ListParagraph1"/>
        <w:ind w:left="0" w:firstLine="720"/>
        <w:jc w:val="both"/>
        <w:rPr>
          <w:rFonts w:ascii="Times New Roman" w:hAnsi="Times New Roman" w:cs="Times New Roman"/>
          <w:b/>
          <w:bCs/>
        </w:rPr>
      </w:pPr>
      <w:r w:rsidRPr="00716193">
        <w:rPr>
          <w:rFonts w:ascii="Times New Roman" w:hAnsi="Times New Roman" w:cs="Times New Roman"/>
          <w:b/>
        </w:rPr>
        <w:t>4</w:t>
      </w:r>
      <w:r w:rsidR="00F201F7" w:rsidRPr="00716193">
        <w:rPr>
          <w:rFonts w:ascii="Times New Roman" w:hAnsi="Times New Roman" w:cs="Times New Roman"/>
          <w:b/>
        </w:rPr>
        <w:t xml:space="preserve">. </w:t>
      </w:r>
      <w:r w:rsidR="00F201F7" w:rsidRPr="00716193">
        <w:rPr>
          <w:rFonts w:ascii="Times New Roman" w:hAnsi="Times New Roman" w:cs="Times New Roman"/>
          <w:b/>
          <w:bCs/>
        </w:rPr>
        <w:t>Обхват на одита и ограничения в обхвата</w:t>
      </w:r>
    </w:p>
    <w:p w:rsidR="00AF038D" w:rsidRPr="00716193" w:rsidRDefault="00AF038D" w:rsidP="00AF038D">
      <w:pPr>
        <w:ind w:firstLine="720"/>
        <w:jc w:val="both"/>
      </w:pPr>
      <w:r w:rsidRPr="00716193">
        <w:t>Одитната задача обхва</w:t>
      </w:r>
      <w:r w:rsidR="006E74CE" w:rsidRPr="00716193">
        <w:t>щ</w:t>
      </w:r>
      <w:r w:rsidR="005F055E" w:rsidRPr="00716193">
        <w:t>а</w:t>
      </w:r>
      <w:r w:rsidRPr="00716193">
        <w:t xml:space="preserve"> проверка и оценка на:</w:t>
      </w:r>
    </w:p>
    <w:p w:rsidR="00F201F7" w:rsidRPr="00716193" w:rsidRDefault="00F201F7" w:rsidP="00FA13CC">
      <w:pPr>
        <w:pStyle w:val="ListParagraph"/>
        <w:numPr>
          <w:ilvl w:val="1"/>
          <w:numId w:val="13"/>
        </w:numPr>
        <w:tabs>
          <w:tab w:val="left" w:pos="1134"/>
        </w:tabs>
        <w:ind w:hanging="218"/>
        <w:jc w:val="both"/>
        <w:rPr>
          <w:rFonts w:ascii="Times New Roman" w:hAnsi="Times New Roman" w:cs="Times New Roman"/>
        </w:rPr>
      </w:pPr>
      <w:r w:rsidRPr="00716193">
        <w:rPr>
          <w:rFonts w:ascii="Times New Roman" w:hAnsi="Times New Roman" w:cs="Times New Roman"/>
        </w:rPr>
        <w:t>Управление на дружеството:</w:t>
      </w:r>
    </w:p>
    <w:p w:rsidR="00F201F7" w:rsidRPr="00716193" w:rsidRDefault="00FA13CC" w:rsidP="00F201F7">
      <w:pPr>
        <w:ind w:firstLine="709"/>
        <w:jc w:val="both"/>
      </w:pPr>
      <w:r w:rsidRPr="00716193">
        <w:t>4.</w:t>
      </w:r>
      <w:r w:rsidR="00F201F7" w:rsidRPr="00716193">
        <w:t xml:space="preserve">1.1. Решения на едноличния собственик на капитала и на управителния орган на </w:t>
      </w:r>
      <w:r w:rsidR="00DF1F75" w:rsidRPr="00716193">
        <w:t>„</w:t>
      </w:r>
      <w:r w:rsidR="00F201F7" w:rsidRPr="00716193">
        <w:t>НСБ</w:t>
      </w:r>
      <w:r w:rsidR="00DF1F75" w:rsidRPr="00716193">
        <w:t>“</w:t>
      </w:r>
      <w:r w:rsidR="00F201F7" w:rsidRPr="00716193">
        <w:t xml:space="preserve"> ЕАД, във връзка с организацията, управлението, отчитането и контрола на дейността на дружеството;</w:t>
      </w:r>
    </w:p>
    <w:p w:rsidR="00F201F7" w:rsidRPr="00716193" w:rsidRDefault="00FA13CC" w:rsidP="00F201F7">
      <w:pPr>
        <w:ind w:firstLine="709"/>
        <w:jc w:val="both"/>
      </w:pPr>
      <w:r w:rsidRPr="00716193">
        <w:t>4.</w:t>
      </w:r>
      <w:r w:rsidR="00F201F7" w:rsidRPr="00716193">
        <w:t xml:space="preserve">1.2. </w:t>
      </w:r>
      <w:r w:rsidR="00F201F7" w:rsidRPr="00716193">
        <w:rPr>
          <w:bCs/>
        </w:rPr>
        <w:t>Анализ на финансовото състояние на дружеството през одитирания период: приходи и разходи от оперативна дейност; вземания и задължения; финансов резултат; показатели, характеризиращи дейността на дружеството.</w:t>
      </w:r>
    </w:p>
    <w:p w:rsidR="00F201F7" w:rsidRPr="00716193" w:rsidRDefault="00F201F7" w:rsidP="00FA13CC">
      <w:pPr>
        <w:pStyle w:val="ListParagraph"/>
        <w:numPr>
          <w:ilvl w:val="1"/>
          <w:numId w:val="13"/>
        </w:numPr>
        <w:tabs>
          <w:tab w:val="left" w:pos="1134"/>
        </w:tabs>
        <w:ind w:hanging="218"/>
        <w:jc w:val="both"/>
        <w:rPr>
          <w:rFonts w:ascii="Times New Roman" w:hAnsi="Times New Roman" w:cs="Times New Roman"/>
          <w:i/>
        </w:rPr>
      </w:pPr>
      <w:r w:rsidRPr="00716193">
        <w:rPr>
          <w:rFonts w:ascii="Times New Roman" w:hAnsi="Times New Roman" w:cs="Times New Roman"/>
        </w:rPr>
        <w:t>Управление на имуществото:</w:t>
      </w:r>
      <w:r w:rsidRPr="00716193">
        <w:rPr>
          <w:rFonts w:ascii="Times New Roman" w:hAnsi="Times New Roman" w:cs="Times New Roman"/>
          <w:i/>
        </w:rPr>
        <w:t xml:space="preserve"> </w:t>
      </w:r>
    </w:p>
    <w:p w:rsidR="00F201F7" w:rsidRPr="00716193" w:rsidRDefault="00FA13CC" w:rsidP="00F201F7">
      <w:pPr>
        <w:pStyle w:val="ListParagraph"/>
        <w:ind w:left="0" w:firstLine="709"/>
        <w:jc w:val="both"/>
        <w:rPr>
          <w:rFonts w:ascii="Times New Roman" w:hAnsi="Times New Roman" w:cs="Times New Roman"/>
          <w:lang w:val="bg-BG"/>
        </w:rPr>
      </w:pPr>
      <w:r w:rsidRPr="00716193">
        <w:rPr>
          <w:rFonts w:ascii="Times New Roman" w:hAnsi="Times New Roman" w:cs="Times New Roman"/>
          <w:lang w:val="bg-BG"/>
        </w:rPr>
        <w:t>4.</w:t>
      </w:r>
      <w:r w:rsidR="00F201F7" w:rsidRPr="00716193">
        <w:rPr>
          <w:rFonts w:ascii="Times New Roman" w:hAnsi="Times New Roman" w:cs="Times New Roman"/>
          <w:lang w:val="bg-BG"/>
        </w:rPr>
        <w:t>2.1. Отдаване под наем на активи: планиране</w:t>
      </w:r>
      <w:r w:rsidR="00F201F7" w:rsidRPr="00716193">
        <w:rPr>
          <w:rFonts w:ascii="Times New Roman" w:hAnsi="Times New Roman" w:cs="Times New Roman"/>
        </w:rPr>
        <w:t xml:space="preserve"> </w:t>
      </w:r>
      <w:r w:rsidR="00F201F7" w:rsidRPr="00716193">
        <w:rPr>
          <w:rFonts w:ascii="Times New Roman" w:hAnsi="Times New Roman" w:cs="Times New Roman"/>
          <w:lang w:val="bg-BG"/>
        </w:rPr>
        <w:t>и провеждане на процедури за отдаване под наем, сключване на договори и контрол;</w:t>
      </w:r>
    </w:p>
    <w:p w:rsidR="00F201F7" w:rsidRPr="00716193" w:rsidRDefault="00FA13CC" w:rsidP="00F201F7">
      <w:pPr>
        <w:pStyle w:val="ListParagraph"/>
        <w:ind w:left="0" w:firstLine="709"/>
        <w:jc w:val="both"/>
        <w:rPr>
          <w:rFonts w:ascii="Times New Roman" w:hAnsi="Times New Roman" w:cs="Times New Roman"/>
        </w:rPr>
      </w:pPr>
      <w:r w:rsidRPr="00716193">
        <w:rPr>
          <w:rFonts w:ascii="Times New Roman" w:hAnsi="Times New Roman" w:cs="Times New Roman"/>
          <w:lang w:val="bg-BG"/>
        </w:rPr>
        <w:t>4.</w:t>
      </w:r>
      <w:r w:rsidR="00F201F7" w:rsidRPr="00716193">
        <w:rPr>
          <w:rFonts w:ascii="Times New Roman" w:hAnsi="Times New Roman" w:cs="Times New Roman"/>
          <w:lang w:val="bg-BG"/>
        </w:rPr>
        <w:t>2.2. Приходи от наеми, в т.ч. наем на помещения и площи, инвестиционни имоти, услуги със спортни съоръжения и спортни уреди под наем.</w:t>
      </w:r>
    </w:p>
    <w:p w:rsidR="00AF038D" w:rsidRPr="00716193" w:rsidRDefault="00BB0652" w:rsidP="00AF038D">
      <w:pPr>
        <w:ind w:firstLine="720"/>
        <w:jc w:val="both"/>
        <w:rPr>
          <w:b/>
        </w:rPr>
      </w:pPr>
      <w:r w:rsidRPr="00716193">
        <w:t>Изпълнени са о</w:t>
      </w:r>
      <w:r w:rsidR="00AF038D" w:rsidRPr="00716193">
        <w:t>дитни процедури върху одитна извадка в област „Управление на имуществото”.</w:t>
      </w:r>
      <w:r w:rsidR="00AF038D" w:rsidRPr="00716193">
        <w:rPr>
          <w:b/>
        </w:rPr>
        <w:t xml:space="preserve"> </w:t>
      </w:r>
    </w:p>
    <w:p w:rsidR="0095300B" w:rsidRPr="00716193" w:rsidRDefault="00BB0652" w:rsidP="0095300B">
      <w:pPr>
        <w:ind w:firstLine="720"/>
        <w:jc w:val="both"/>
      </w:pPr>
      <w:r w:rsidRPr="00716193">
        <w:t xml:space="preserve">Сключени са </w:t>
      </w:r>
      <w:r w:rsidR="00AF038D" w:rsidRPr="00716193">
        <w:t xml:space="preserve">общо </w:t>
      </w:r>
      <w:r w:rsidR="0095300B" w:rsidRPr="00716193">
        <w:t>126</w:t>
      </w:r>
      <w:r w:rsidR="00AF038D" w:rsidRPr="00716193">
        <w:t xml:space="preserve"> договора за отдаване под наем на активи, собственост на </w:t>
      </w:r>
      <w:r w:rsidR="00DF1F75" w:rsidRPr="00716193">
        <w:t>„</w:t>
      </w:r>
      <w:r w:rsidR="00AF038D" w:rsidRPr="00716193">
        <w:t>НСБ</w:t>
      </w:r>
      <w:r w:rsidR="00DF1F75" w:rsidRPr="00716193">
        <w:t>“</w:t>
      </w:r>
      <w:r w:rsidR="00AF038D" w:rsidRPr="00716193">
        <w:t xml:space="preserve"> ЕАД, </w:t>
      </w:r>
      <w:r w:rsidRPr="00716193">
        <w:t>пр</w:t>
      </w:r>
      <w:r w:rsidR="00AF038D" w:rsidRPr="00716193">
        <w:t>ез одитирания период (5</w:t>
      </w:r>
      <w:r w:rsidR="0095300B" w:rsidRPr="00716193">
        <w:t>6</w:t>
      </w:r>
      <w:r w:rsidR="00AF038D" w:rsidRPr="00716193">
        <w:t xml:space="preserve"> сключени договори през 2013 г.</w:t>
      </w:r>
      <w:r w:rsidR="00AF038D" w:rsidRPr="00716193">
        <w:rPr>
          <w:rStyle w:val="FootnoteReference"/>
        </w:rPr>
        <w:t xml:space="preserve"> </w:t>
      </w:r>
      <w:r w:rsidR="00AF038D" w:rsidRPr="00716193">
        <w:t xml:space="preserve">и </w:t>
      </w:r>
      <w:r w:rsidR="0095300B" w:rsidRPr="00716193">
        <w:t>70</w:t>
      </w:r>
      <w:r w:rsidR="00AF038D" w:rsidRPr="00716193">
        <w:t xml:space="preserve"> броя през </w:t>
      </w:r>
      <w:r w:rsidR="002A35F2" w:rsidRPr="00716193">
        <w:rPr>
          <w:lang w:val="en-US"/>
        </w:rPr>
        <w:t xml:space="preserve">   </w:t>
      </w:r>
      <w:r w:rsidR="00AF038D" w:rsidRPr="00716193">
        <w:t xml:space="preserve">2014 г.). </w:t>
      </w:r>
      <w:r w:rsidR="0095300B" w:rsidRPr="00716193">
        <w:t>Популацията, от която се формира извадката</w:t>
      </w:r>
      <w:r w:rsidR="00D56870" w:rsidRPr="00716193">
        <w:t>,</w:t>
      </w:r>
      <w:r w:rsidR="0095300B" w:rsidRPr="00716193">
        <w:t xml:space="preserve"> е ограничена чрез изключване на договорите (7 бр.), които са проверени от Звеното за вътрешен одит към Министерството на младежта и спорта (през 2013 г. и 2014 г.), както следва: 3 бр. за 2013 г. и 4 бр. за </w:t>
      </w:r>
      <w:r w:rsidR="00612B18" w:rsidRPr="00716193">
        <w:br/>
      </w:r>
      <w:r w:rsidR="0095300B" w:rsidRPr="00716193">
        <w:t xml:space="preserve">2014 г. </w:t>
      </w:r>
    </w:p>
    <w:p w:rsidR="00AF038D" w:rsidRPr="00716193" w:rsidRDefault="0095300B" w:rsidP="00AF038D">
      <w:pPr>
        <w:ind w:firstLine="720"/>
        <w:jc w:val="both"/>
      </w:pPr>
      <w:r w:rsidRPr="00716193">
        <w:t xml:space="preserve">От оставащите общо 119 договора за отдаване под наем на активи, собственост на </w:t>
      </w:r>
      <w:r w:rsidR="00DF1F75" w:rsidRPr="00716193">
        <w:t>„</w:t>
      </w:r>
      <w:r w:rsidRPr="00716193">
        <w:t>НСБ</w:t>
      </w:r>
      <w:r w:rsidR="00DF1F75" w:rsidRPr="00716193">
        <w:t>“</w:t>
      </w:r>
      <w:r w:rsidRPr="00716193">
        <w:t xml:space="preserve"> ЕАД (53 сключени договори през 2013 г.</w:t>
      </w:r>
      <w:r w:rsidRPr="00716193">
        <w:rPr>
          <w:rStyle w:val="FootnoteReference"/>
        </w:rPr>
        <w:t xml:space="preserve"> </w:t>
      </w:r>
      <w:r w:rsidRPr="00716193">
        <w:t>и 66 броя през 2014 г.), се ф</w:t>
      </w:r>
      <w:r w:rsidR="00AF038D" w:rsidRPr="00716193">
        <w:t>ормира една и съща извадка за тестовете на контрола и тестовете по същество. Използваният способ за избор на единиците, включени в извадката, е рисков подбор.</w:t>
      </w:r>
      <w:r w:rsidR="00BB0652" w:rsidRPr="00716193">
        <w:t xml:space="preserve"> Проверени са 22 договор</w:t>
      </w:r>
      <w:r w:rsidR="00E05F3C" w:rsidRPr="00716193">
        <w:t>а</w:t>
      </w:r>
      <w:r w:rsidR="00BB0652" w:rsidRPr="00716193">
        <w:t xml:space="preserve"> за отдаване под наем на активи, </w:t>
      </w:r>
      <w:r w:rsidR="00D30FF7" w:rsidRPr="00716193">
        <w:t xml:space="preserve">собственост на дружеството, </w:t>
      </w:r>
      <w:r w:rsidR="00BB0652" w:rsidRPr="00716193">
        <w:t xml:space="preserve">сключени през 2013 г., и </w:t>
      </w:r>
      <w:r w:rsidR="00D30FF7" w:rsidRPr="00716193">
        <w:t xml:space="preserve"> </w:t>
      </w:r>
      <w:r w:rsidR="00BB0652" w:rsidRPr="00716193">
        <w:t>2</w:t>
      </w:r>
      <w:r w:rsidR="00E05F3C" w:rsidRPr="00716193">
        <w:t>3</w:t>
      </w:r>
      <w:r w:rsidR="00BB0652" w:rsidRPr="00716193">
        <w:t xml:space="preserve">  договор</w:t>
      </w:r>
      <w:r w:rsidR="00E05F3C" w:rsidRPr="00716193">
        <w:t>а</w:t>
      </w:r>
      <w:r w:rsidR="00D30FF7" w:rsidRPr="00716193">
        <w:t>, сключени пр</w:t>
      </w:r>
      <w:r w:rsidR="00DA1ED9" w:rsidRPr="00716193">
        <w:t>е</w:t>
      </w:r>
      <w:r w:rsidR="00D30FF7" w:rsidRPr="00716193">
        <w:t>з 2014 г., като съотношение</w:t>
      </w:r>
      <w:r w:rsidR="002A3D3E" w:rsidRPr="00716193">
        <w:t>то е</w:t>
      </w:r>
      <w:r w:rsidR="00D30FF7" w:rsidRPr="00716193">
        <w:t xml:space="preserve"> 15 на сто от тях - тестове на контрола и 8</w:t>
      </w:r>
      <w:r w:rsidR="005F77D4" w:rsidRPr="00716193">
        <w:t>0</w:t>
      </w:r>
      <w:r w:rsidR="00D30FF7" w:rsidRPr="00716193">
        <w:t xml:space="preserve"> на сто - тестове по същество.</w:t>
      </w:r>
      <w:r w:rsidR="00BB0652" w:rsidRPr="00716193">
        <w:t xml:space="preserve"> </w:t>
      </w:r>
    </w:p>
    <w:p w:rsidR="00F201F7" w:rsidRPr="00716193" w:rsidRDefault="00FA13CC" w:rsidP="00F201F7">
      <w:pPr>
        <w:tabs>
          <w:tab w:val="left" w:pos="1134"/>
        </w:tabs>
        <w:ind w:firstLine="709"/>
        <w:jc w:val="both"/>
      </w:pPr>
      <w:r w:rsidRPr="00716193">
        <w:t>4.</w:t>
      </w:r>
      <w:r w:rsidR="00F201F7" w:rsidRPr="00716193">
        <w:t>3.</w:t>
      </w:r>
      <w:r w:rsidR="00F201F7" w:rsidRPr="00716193">
        <w:tab/>
        <w:t>Управленски решения, свързани с възлагане на обществени поръчки: процедури;</w:t>
      </w:r>
      <w:r w:rsidR="00F201F7" w:rsidRPr="00716193">
        <w:rPr>
          <w:lang w:val="en-US"/>
        </w:rPr>
        <w:t xml:space="preserve"> </w:t>
      </w:r>
      <w:r w:rsidR="00F201F7" w:rsidRPr="00716193">
        <w:t>публични покани;</w:t>
      </w:r>
      <w:r w:rsidR="00F201F7" w:rsidRPr="00716193">
        <w:rPr>
          <w:lang w:val="en-US"/>
        </w:rPr>
        <w:t xml:space="preserve"> </w:t>
      </w:r>
      <w:r w:rsidR="00C72430" w:rsidRPr="00716193">
        <w:t xml:space="preserve">договори за </w:t>
      </w:r>
      <w:r w:rsidR="00F201F7" w:rsidRPr="00716193">
        <w:t xml:space="preserve">доставки, услуги и строителство по реда на </w:t>
      </w:r>
      <w:r w:rsidR="00EE369F" w:rsidRPr="00716193">
        <w:br/>
      </w:r>
      <w:r w:rsidR="00F201F7" w:rsidRPr="00716193">
        <w:t>чл. 14, ал. 5 от З</w:t>
      </w:r>
      <w:r w:rsidR="00CE3ADB" w:rsidRPr="00716193">
        <w:t>ОП</w:t>
      </w:r>
      <w:r w:rsidR="00F201F7" w:rsidRPr="00716193">
        <w:t>.</w:t>
      </w:r>
    </w:p>
    <w:p w:rsidR="00AF038D" w:rsidRPr="00716193" w:rsidRDefault="00D56870" w:rsidP="00AF038D">
      <w:pPr>
        <w:pStyle w:val="ListParagraph1"/>
        <w:ind w:left="0" w:firstLine="720"/>
        <w:jc w:val="both"/>
        <w:rPr>
          <w:rFonts w:ascii="Times New Roman" w:hAnsi="Times New Roman" w:cs="Times New Roman"/>
        </w:rPr>
      </w:pPr>
      <w:r w:rsidRPr="00716193">
        <w:rPr>
          <w:rFonts w:ascii="Times New Roman" w:hAnsi="Times New Roman" w:cs="Times New Roman"/>
        </w:rPr>
        <w:t>От проведените общо четири открити процедури за възлагане на обществени поръчки по реда на ЗОП от обхвата на одитната задача са изключени две, които са прекратени – налице са съдебни спорове, приключили със съдебно решение. От сключените договори за строителство се изключват тези, които са обект на проверка от Агенцията за държавна финансова инспекция.</w:t>
      </w:r>
      <w:r w:rsidRPr="00716193">
        <w:rPr>
          <w:rStyle w:val="FootnoteReference"/>
          <w:rFonts w:ascii="Times New Roman" w:hAnsi="Times New Roman" w:cs="Times New Roman"/>
        </w:rPr>
        <w:footnoteReference w:id="10"/>
      </w:r>
    </w:p>
    <w:p w:rsidR="00D56870" w:rsidRPr="00716193" w:rsidRDefault="00D56870" w:rsidP="00AF038D">
      <w:pPr>
        <w:pStyle w:val="ListParagraph1"/>
        <w:ind w:left="0" w:firstLine="720"/>
        <w:jc w:val="both"/>
        <w:rPr>
          <w:rFonts w:ascii="Times New Roman" w:hAnsi="Times New Roman" w:cs="Times New Roman"/>
          <w:b/>
        </w:rPr>
      </w:pPr>
    </w:p>
    <w:p w:rsidR="00AF038D" w:rsidRPr="00716193" w:rsidRDefault="00FA13CC" w:rsidP="00AF038D">
      <w:pPr>
        <w:pStyle w:val="ListParagraph1"/>
        <w:ind w:left="0" w:firstLine="720"/>
        <w:jc w:val="both"/>
        <w:rPr>
          <w:rFonts w:ascii="Times New Roman" w:hAnsi="Times New Roman" w:cs="Times New Roman"/>
          <w:b/>
          <w:bCs/>
        </w:rPr>
      </w:pPr>
      <w:r w:rsidRPr="00716193">
        <w:rPr>
          <w:rFonts w:ascii="Times New Roman" w:hAnsi="Times New Roman" w:cs="Times New Roman"/>
          <w:b/>
        </w:rPr>
        <w:t>5</w:t>
      </w:r>
      <w:r w:rsidR="00AF038D" w:rsidRPr="00716193">
        <w:rPr>
          <w:rFonts w:ascii="Times New Roman" w:hAnsi="Times New Roman" w:cs="Times New Roman"/>
          <w:b/>
        </w:rPr>
        <w:t xml:space="preserve">. </w:t>
      </w:r>
      <w:r w:rsidR="00AF038D" w:rsidRPr="00716193">
        <w:rPr>
          <w:rFonts w:ascii="Times New Roman" w:hAnsi="Times New Roman" w:cs="Times New Roman"/>
          <w:b/>
          <w:bCs/>
        </w:rPr>
        <w:t>Критерии за оценка</w:t>
      </w:r>
    </w:p>
    <w:p w:rsidR="002718CC" w:rsidRPr="00716193" w:rsidRDefault="002718CC" w:rsidP="002718CC">
      <w:pPr>
        <w:ind w:firstLine="720"/>
        <w:jc w:val="both"/>
      </w:pPr>
      <w:r w:rsidRPr="00716193">
        <w:t xml:space="preserve">При одита на </w:t>
      </w:r>
      <w:r w:rsidR="00DF1F75" w:rsidRPr="00716193">
        <w:t>„</w:t>
      </w:r>
      <w:r w:rsidRPr="00716193">
        <w:t>НСБ</w:t>
      </w:r>
      <w:r w:rsidR="00DF1F75" w:rsidRPr="00716193">
        <w:t>“</w:t>
      </w:r>
      <w:r w:rsidRPr="00716193">
        <w:t xml:space="preserve"> ЕАД са </w:t>
      </w:r>
      <w:r w:rsidR="00DA1ED9" w:rsidRPr="00716193">
        <w:t xml:space="preserve">използвани следните критерии </w:t>
      </w:r>
      <w:r w:rsidRPr="00716193">
        <w:t>за оценка:</w:t>
      </w:r>
    </w:p>
    <w:p w:rsidR="002718CC" w:rsidRPr="00716193" w:rsidRDefault="00FA13CC" w:rsidP="002718CC">
      <w:pPr>
        <w:ind w:firstLine="720"/>
        <w:jc w:val="both"/>
      </w:pPr>
      <w:r w:rsidRPr="00716193">
        <w:t>5.</w:t>
      </w:r>
      <w:r w:rsidR="002718CC" w:rsidRPr="00716193">
        <w:t>1. Съответствие на управленските решения с правната рамка и договорите през одитирания период в трите области на изследване.</w:t>
      </w:r>
    </w:p>
    <w:p w:rsidR="002718CC" w:rsidRPr="00716193" w:rsidRDefault="00FA13CC" w:rsidP="002718CC">
      <w:pPr>
        <w:ind w:firstLine="720"/>
        <w:jc w:val="both"/>
      </w:pPr>
      <w:r w:rsidRPr="00716193">
        <w:t>5.</w:t>
      </w:r>
      <w:r w:rsidR="002718CC" w:rsidRPr="00716193">
        <w:t>2. Съответствие на системата за финансово управление и контрол с изискванията на ЗФУКПС в трите области на изследване.</w:t>
      </w:r>
    </w:p>
    <w:p w:rsidR="009D67F1" w:rsidRPr="00716193" w:rsidRDefault="009D67F1" w:rsidP="002718CC">
      <w:pPr>
        <w:ind w:firstLine="720"/>
        <w:jc w:val="both"/>
      </w:pPr>
    </w:p>
    <w:p w:rsidR="002718CC" w:rsidRPr="00716193" w:rsidRDefault="00FA13CC" w:rsidP="002718CC">
      <w:pPr>
        <w:pStyle w:val="ListParagraph1"/>
        <w:ind w:left="0" w:firstLine="720"/>
        <w:jc w:val="both"/>
        <w:rPr>
          <w:rFonts w:ascii="Times New Roman" w:hAnsi="Times New Roman" w:cs="Times New Roman"/>
          <w:b/>
        </w:rPr>
      </w:pPr>
      <w:r w:rsidRPr="00716193">
        <w:rPr>
          <w:rFonts w:ascii="Times New Roman" w:hAnsi="Times New Roman" w:cs="Times New Roman"/>
          <w:b/>
        </w:rPr>
        <w:t>6</w:t>
      </w:r>
      <w:r w:rsidR="002718CC" w:rsidRPr="00716193">
        <w:rPr>
          <w:rFonts w:ascii="Times New Roman" w:hAnsi="Times New Roman" w:cs="Times New Roman"/>
          <w:b/>
        </w:rPr>
        <w:t>. Одитни стандарти</w:t>
      </w:r>
    </w:p>
    <w:p w:rsidR="002718CC" w:rsidRPr="00716193" w:rsidRDefault="002718CC" w:rsidP="002A35F2">
      <w:pPr>
        <w:pStyle w:val="ListParagraph1"/>
        <w:ind w:left="0" w:firstLine="720"/>
        <w:jc w:val="both"/>
        <w:rPr>
          <w:rFonts w:ascii="Times New Roman" w:hAnsi="Times New Roman" w:cs="Times New Roman"/>
          <w:b/>
          <w:bCs/>
        </w:rPr>
      </w:pPr>
      <w:r w:rsidRPr="00716193">
        <w:rPr>
          <w:rFonts w:ascii="Times New Roman" w:hAnsi="Times New Roman" w:cs="Times New Roman"/>
        </w:rPr>
        <w:t>Одитът е изпълнен в съответствие с МСВОИ 100 Основни принципи на одита в публичния сектор, МСВОИ 400 Основни принципи на одита за съответствие, МСВОИ 4100 Указания за одит за съответствие - за одити, извършени отделно от одити на финансовите отчети, МСВОИ 1520 Указания за финансов одит – аналитични процедури.</w:t>
      </w:r>
      <w:r w:rsidR="006A1965" w:rsidRPr="00716193">
        <w:rPr>
          <w:rFonts w:ascii="Times New Roman" w:hAnsi="Times New Roman" w:cs="Times New Roman"/>
        </w:rPr>
        <w:t xml:space="preserve"> </w:t>
      </w:r>
    </w:p>
    <w:p w:rsidR="002A35F2" w:rsidRPr="00716193" w:rsidRDefault="002A35F2" w:rsidP="002A35F2">
      <w:pPr>
        <w:tabs>
          <w:tab w:val="left" w:pos="720"/>
        </w:tabs>
        <w:ind w:firstLine="720"/>
        <w:jc w:val="both"/>
        <w:rPr>
          <w:b/>
          <w:lang w:val="en-US"/>
        </w:rPr>
      </w:pPr>
    </w:p>
    <w:p w:rsidR="00FB3DDD" w:rsidRPr="00716193" w:rsidRDefault="00FB3DDD" w:rsidP="000367EC">
      <w:pPr>
        <w:tabs>
          <w:tab w:val="left" w:pos="720"/>
        </w:tabs>
        <w:spacing w:before="120"/>
        <w:ind w:firstLine="720"/>
        <w:jc w:val="both"/>
        <w:rPr>
          <w:b/>
        </w:rPr>
      </w:pPr>
      <w:r w:rsidRPr="00716193">
        <w:rPr>
          <w:b/>
        </w:rPr>
        <w:t>Част трета</w:t>
      </w:r>
    </w:p>
    <w:p w:rsidR="00E74A42" w:rsidRPr="00716193" w:rsidRDefault="00FB3DDD" w:rsidP="000367EC">
      <w:pPr>
        <w:tabs>
          <w:tab w:val="left" w:pos="720"/>
        </w:tabs>
        <w:spacing w:before="120"/>
        <w:ind w:firstLine="720"/>
        <w:jc w:val="both"/>
        <w:rPr>
          <w:b/>
          <w:lang w:val="en-US"/>
        </w:rPr>
      </w:pPr>
      <w:r w:rsidRPr="00716193">
        <w:rPr>
          <w:b/>
        </w:rPr>
        <w:t>КОНСТАТАЦИИ</w:t>
      </w:r>
    </w:p>
    <w:p w:rsidR="002A35F2" w:rsidRPr="00716193" w:rsidRDefault="002A35F2" w:rsidP="002A35F2">
      <w:pPr>
        <w:tabs>
          <w:tab w:val="left" w:pos="720"/>
        </w:tabs>
        <w:ind w:firstLine="720"/>
        <w:jc w:val="both"/>
        <w:rPr>
          <w:b/>
          <w:lang w:val="en-US"/>
        </w:rPr>
      </w:pPr>
    </w:p>
    <w:p w:rsidR="004F4CBD" w:rsidRPr="00716193" w:rsidRDefault="004F4CBD" w:rsidP="004F4CBD">
      <w:pPr>
        <w:pStyle w:val="BodyText"/>
        <w:numPr>
          <w:ilvl w:val="0"/>
          <w:numId w:val="2"/>
        </w:numPr>
        <w:spacing w:after="0"/>
        <w:ind w:hanging="371"/>
        <w:jc w:val="both"/>
        <w:rPr>
          <w:b/>
        </w:rPr>
      </w:pPr>
      <w:r w:rsidRPr="00716193">
        <w:rPr>
          <w:b/>
        </w:rPr>
        <w:t>Управление на дружеството</w:t>
      </w:r>
    </w:p>
    <w:p w:rsidR="004F4CBD" w:rsidRPr="00716193" w:rsidRDefault="004F4CBD" w:rsidP="004F4CBD">
      <w:pPr>
        <w:ind w:firstLine="709"/>
        <w:jc w:val="both"/>
      </w:pPr>
      <w:r w:rsidRPr="00716193">
        <w:t>Министерският съвет упражнява правата на държавата в търговските дружества с държавно участие в капитала при условията, по реда и чрез органите, посочени в ПРУПДТДДУК.</w:t>
      </w:r>
    </w:p>
    <w:p w:rsidR="004F4CBD" w:rsidRPr="00716193" w:rsidRDefault="00DF1F75" w:rsidP="00333DAF">
      <w:pPr>
        <w:tabs>
          <w:tab w:val="left" w:pos="0"/>
        </w:tabs>
        <w:ind w:firstLine="720"/>
        <w:jc w:val="both"/>
        <w:rPr>
          <w:lang w:val="en-US"/>
        </w:rPr>
      </w:pPr>
      <w:r w:rsidRPr="00716193">
        <w:t>„</w:t>
      </w:r>
      <w:r w:rsidR="004F4CBD" w:rsidRPr="00716193">
        <w:t>НСБ</w:t>
      </w:r>
      <w:r w:rsidRPr="00716193">
        <w:t>“</w:t>
      </w:r>
      <w:r w:rsidR="004F4CBD" w:rsidRPr="00716193">
        <w:t xml:space="preserve"> ЕАД е търговско дружество със 100 на сто държавно участие в капитала, с едностепенна система на управление, и съгласно ПРУПДТДДУК и Устава на дружеството, органите му на управление са едноличният собственик на капитала, който решава въпросите от компетентността на Общото събрание на акционерите, и Съветът на директорите.</w:t>
      </w:r>
      <w:r w:rsidR="0079301B" w:rsidRPr="00716193">
        <w:rPr>
          <w:rStyle w:val="FootnoteReference"/>
        </w:rPr>
        <w:footnoteReference w:id="11"/>
      </w:r>
      <w:r w:rsidR="00E07B01" w:rsidRPr="00716193">
        <w:t xml:space="preserve"> </w:t>
      </w:r>
      <w:r w:rsidR="004F4CBD" w:rsidRPr="00716193">
        <w:t>През одитирания период, министърът на физическото възпитание и спорта/министърът на младежта и спорта</w:t>
      </w:r>
      <w:r w:rsidR="004F4CBD" w:rsidRPr="00716193">
        <w:rPr>
          <w:rStyle w:val="FootnoteReference"/>
        </w:rPr>
        <w:footnoteReference w:id="12"/>
      </w:r>
      <w:r w:rsidR="004F4CBD" w:rsidRPr="00716193">
        <w:t xml:space="preserve"> </w:t>
      </w:r>
      <w:r w:rsidR="004F4CBD" w:rsidRPr="00716193">
        <w:rPr>
          <w:lang w:val="en-US"/>
        </w:rPr>
        <w:t>(</w:t>
      </w:r>
      <w:r w:rsidR="004F4CBD" w:rsidRPr="00716193">
        <w:t>министър</w:t>
      </w:r>
      <w:r w:rsidR="004F4CBD" w:rsidRPr="00716193">
        <w:rPr>
          <w:lang w:val="en-US"/>
        </w:rPr>
        <w:t>)</w:t>
      </w:r>
      <w:r w:rsidR="004F4CBD" w:rsidRPr="00716193">
        <w:t xml:space="preserve"> упражнява правата на държавата в търговското дружество с държавно участие в капитала, съобразно отрасловата си компетентност.В Търговския закон, </w:t>
      </w:r>
      <w:r w:rsidR="004F4CBD" w:rsidRPr="00716193">
        <w:rPr>
          <w:rFonts w:eastAsia="Calibri"/>
          <w:lang w:eastAsia="en-US"/>
        </w:rPr>
        <w:t xml:space="preserve">ПРУПДТДДУК и Устава на </w:t>
      </w:r>
      <w:r w:rsidR="008F0D28" w:rsidRPr="00716193">
        <w:rPr>
          <w:rFonts w:eastAsia="Calibri"/>
          <w:lang w:eastAsia="en-US"/>
        </w:rPr>
        <w:t>„</w:t>
      </w:r>
      <w:r w:rsidR="004F4CBD" w:rsidRPr="00716193">
        <w:rPr>
          <w:rFonts w:eastAsia="Calibri"/>
          <w:lang w:eastAsia="en-US"/>
        </w:rPr>
        <w:t>НСБ</w:t>
      </w:r>
      <w:r w:rsidR="008F0D28" w:rsidRPr="00716193">
        <w:rPr>
          <w:rFonts w:eastAsia="Calibri"/>
          <w:lang w:eastAsia="en-US"/>
        </w:rPr>
        <w:t>“</w:t>
      </w:r>
      <w:r w:rsidR="004F4CBD" w:rsidRPr="00716193">
        <w:rPr>
          <w:rFonts w:eastAsia="Calibri"/>
          <w:lang w:eastAsia="en-US"/>
        </w:rPr>
        <w:t xml:space="preserve"> ЕАД са определени правомощията на едноличния собственик на кап</w:t>
      </w:r>
      <w:r w:rsidR="00E74A42" w:rsidRPr="00716193">
        <w:rPr>
          <w:rFonts w:eastAsia="Calibri"/>
          <w:lang w:eastAsia="en-US"/>
        </w:rPr>
        <w:t>итала и на СД</w:t>
      </w:r>
      <w:r w:rsidR="004F4CBD" w:rsidRPr="00716193">
        <w:rPr>
          <w:rFonts w:eastAsia="Calibri"/>
          <w:lang w:eastAsia="en-US"/>
        </w:rPr>
        <w:t xml:space="preserve"> на дружеството, като резултатите от извършената оценка за </w:t>
      </w:r>
      <w:r w:rsidR="004F4CBD" w:rsidRPr="00716193">
        <w:t>съответствието на управленските решения с действащата нормативна уредба</w:t>
      </w:r>
      <w:r w:rsidR="004F4CBD" w:rsidRPr="00716193">
        <w:rPr>
          <w:rFonts w:eastAsia="Calibri"/>
          <w:lang w:eastAsia="en-US"/>
        </w:rPr>
        <w:t xml:space="preserve"> са представени в настоящия раздел от одитния доклад.</w:t>
      </w:r>
    </w:p>
    <w:p w:rsidR="00EE369F" w:rsidRPr="00716193" w:rsidRDefault="00EE369F" w:rsidP="002463D2">
      <w:pPr>
        <w:pStyle w:val="BodyText"/>
        <w:spacing w:after="0"/>
        <w:ind w:firstLine="703"/>
        <w:jc w:val="both"/>
        <w:rPr>
          <w:b/>
        </w:rPr>
      </w:pPr>
    </w:p>
    <w:p w:rsidR="004F4CBD" w:rsidRPr="00716193" w:rsidRDefault="004F4CBD" w:rsidP="002463D2">
      <w:pPr>
        <w:pStyle w:val="BodyText"/>
        <w:spacing w:after="0"/>
        <w:ind w:firstLine="703"/>
        <w:jc w:val="both"/>
        <w:rPr>
          <w:b/>
          <w:lang w:val="en-US"/>
        </w:rPr>
      </w:pPr>
      <w:r w:rsidRPr="00716193">
        <w:rPr>
          <w:b/>
        </w:rPr>
        <w:t>1. Решения на едноличния собственик на капитала и на управителния орган н</w:t>
      </w:r>
      <w:r w:rsidR="008F0D28" w:rsidRPr="00716193">
        <w:rPr>
          <w:b/>
        </w:rPr>
        <w:t>а „Национална спортна база“ ЕАД</w:t>
      </w:r>
      <w:r w:rsidRPr="00716193">
        <w:rPr>
          <w:b/>
        </w:rPr>
        <w:t>, във връзка с организацията, управлението, отчитането и контрола на дейността на дружеството</w:t>
      </w:r>
    </w:p>
    <w:p w:rsidR="004F4CBD" w:rsidRPr="00716193" w:rsidRDefault="004F4CBD" w:rsidP="002463D2">
      <w:pPr>
        <w:pStyle w:val="BodyText"/>
        <w:spacing w:after="0"/>
        <w:ind w:firstLine="703"/>
        <w:jc w:val="both"/>
        <w:rPr>
          <w:b/>
        </w:rPr>
      </w:pPr>
      <w:r w:rsidRPr="00716193">
        <w:rPr>
          <w:b/>
        </w:rPr>
        <w:t>1.1. Определяне на структурно звено в системата на МФВС/ММС, което да подпомага министъра в рамките на неговата компетентност при провеждане политиката по отношение на търговските дружества</w:t>
      </w:r>
    </w:p>
    <w:p w:rsidR="004F4CBD" w:rsidRPr="00716193" w:rsidRDefault="004F4CBD" w:rsidP="004F4CBD">
      <w:pPr>
        <w:tabs>
          <w:tab w:val="left" w:pos="0"/>
          <w:tab w:val="left" w:pos="1080"/>
        </w:tabs>
        <w:ind w:firstLine="709"/>
        <w:jc w:val="both"/>
      </w:pPr>
      <w:r w:rsidRPr="00716193">
        <w:t xml:space="preserve">С Устройствения правилник </w:t>
      </w:r>
      <w:r w:rsidRPr="00716193">
        <w:rPr>
          <w:lang w:val="en-US"/>
        </w:rPr>
        <w:t>(</w:t>
      </w:r>
      <w:r w:rsidRPr="00716193">
        <w:t>УП</w:t>
      </w:r>
      <w:r w:rsidRPr="00716193">
        <w:rPr>
          <w:lang w:val="en-US"/>
        </w:rPr>
        <w:t xml:space="preserve">) </w:t>
      </w:r>
      <w:r w:rsidRPr="00716193">
        <w:t>на</w:t>
      </w:r>
      <w:r w:rsidRPr="00716193">
        <w:rPr>
          <w:b/>
        </w:rPr>
        <w:t xml:space="preserve"> </w:t>
      </w:r>
      <w:r w:rsidRPr="00716193">
        <w:t>МФВС/ММС е определено структурно звено, което да подпомага министъра</w:t>
      </w:r>
      <w:r w:rsidRPr="00716193">
        <w:rPr>
          <w:lang w:val="en-US"/>
        </w:rPr>
        <w:t xml:space="preserve"> </w:t>
      </w:r>
      <w:r w:rsidRPr="00716193">
        <w:t xml:space="preserve">в рамките на неговата компетентност при провеждане политиката по отношение на търговските дружества, в които </w:t>
      </w:r>
      <w:r w:rsidR="006537CD" w:rsidRPr="00716193">
        <w:t>той</w:t>
      </w:r>
      <w:r w:rsidRPr="00716193">
        <w:t xml:space="preserve"> упражнява правата на държавата в търговските дружества с държавно участие в капитала в областта на спорта</w:t>
      </w:r>
      <w:r w:rsidR="005E66F0" w:rsidRPr="00716193">
        <w:t>. О</w:t>
      </w:r>
      <w:r w:rsidRPr="00716193">
        <w:t xml:space="preserve">т </w:t>
      </w:r>
      <w:r w:rsidRPr="00716193">
        <w:lastRenderedPageBreak/>
        <w:t>началото на одитирания период до 03.07.2013 г.</w:t>
      </w:r>
      <w:r w:rsidRPr="00716193">
        <w:rPr>
          <w:rStyle w:val="FootnoteReference"/>
        </w:rPr>
        <w:footnoteReference w:id="13"/>
      </w:r>
      <w:r w:rsidRPr="00716193">
        <w:t xml:space="preserve"> </w:t>
      </w:r>
      <w:r w:rsidR="005E66F0" w:rsidRPr="00716193">
        <w:t xml:space="preserve">структурното звено </w:t>
      </w:r>
      <w:r w:rsidRPr="00716193">
        <w:t xml:space="preserve">е дирекция „Инвестиционна политика и управление на собствеността“ </w:t>
      </w:r>
      <w:r w:rsidRPr="00716193">
        <w:rPr>
          <w:lang w:val="en-US"/>
        </w:rPr>
        <w:t>(</w:t>
      </w:r>
      <w:r w:rsidRPr="00716193">
        <w:t>„ИПУС“</w:t>
      </w:r>
      <w:r w:rsidRPr="00716193">
        <w:rPr>
          <w:lang w:val="en-US"/>
        </w:rPr>
        <w:t>)</w:t>
      </w:r>
      <w:r w:rsidRPr="00716193">
        <w:t>, а от 03.07.2013 г.</w:t>
      </w:r>
      <w:r w:rsidRPr="00716193">
        <w:rPr>
          <w:rStyle w:val="FootnoteReference"/>
        </w:rPr>
        <w:footnoteReference w:id="14"/>
      </w:r>
      <w:r w:rsidRPr="00716193">
        <w:t xml:space="preserve"> до края на одитирания период е дирекция “Спортна инфраструктура и управление на държавното участие“</w:t>
      </w:r>
      <w:r w:rsidRPr="00716193">
        <w:rPr>
          <w:lang w:val="en-US"/>
        </w:rPr>
        <w:t xml:space="preserve"> (</w:t>
      </w:r>
      <w:r w:rsidRPr="00716193">
        <w:t>„СИУДУ“</w:t>
      </w:r>
      <w:r w:rsidRPr="00716193">
        <w:rPr>
          <w:lang w:val="en-US"/>
        </w:rPr>
        <w:t>)</w:t>
      </w:r>
      <w:r w:rsidRPr="00716193">
        <w:t>.</w:t>
      </w:r>
      <w:r w:rsidRPr="00716193">
        <w:rPr>
          <w:rStyle w:val="FootnoteReference"/>
        </w:rPr>
        <w:footnoteReference w:id="15"/>
      </w:r>
      <w:r w:rsidRPr="00716193">
        <w:t xml:space="preserve"> </w:t>
      </w:r>
    </w:p>
    <w:p w:rsidR="004F4CBD" w:rsidRPr="00716193" w:rsidRDefault="00483CD4" w:rsidP="004F4CBD">
      <w:pPr>
        <w:tabs>
          <w:tab w:val="left" w:pos="0"/>
          <w:tab w:val="left" w:pos="1080"/>
        </w:tabs>
        <w:ind w:firstLine="709"/>
        <w:jc w:val="both"/>
      </w:pPr>
      <w:r w:rsidRPr="00716193">
        <w:t>В УП</w:t>
      </w:r>
      <w:r w:rsidR="004F4CBD" w:rsidRPr="00716193">
        <w:t xml:space="preserve"> на министерството са определени правомощията и отговорностите на дирекцията, които са значителни по обем и по своята същност. Що се отнася до дейността </w:t>
      </w:r>
      <w:r w:rsidRPr="00716193">
        <w:t>на ТД</w:t>
      </w:r>
      <w:r w:rsidR="004F4CBD" w:rsidRPr="00716193">
        <w:t xml:space="preserve">, вмененото задължение на дирекцията е формулирано общо, без определена конкретика, а именно: „подпомага министъра при упражняване правата му на едноличен собственик на капитала в едноличните търговски дружества и правата на собственик на капитала на държавата в търговски дружества в областта на спорта, в които държавата е акционер или съдружник, както и контрола върху тяхната дейност“. </w:t>
      </w:r>
    </w:p>
    <w:p w:rsidR="004F4CBD" w:rsidRPr="00716193" w:rsidRDefault="004F4CBD" w:rsidP="004F4CBD">
      <w:pPr>
        <w:tabs>
          <w:tab w:val="left" w:pos="0"/>
          <w:tab w:val="left" w:pos="1080"/>
        </w:tabs>
        <w:ind w:firstLine="709"/>
        <w:jc w:val="both"/>
      </w:pPr>
      <w:r w:rsidRPr="00716193">
        <w:t>През одитирания период дирекцията няма утвърдена функционална характеристика.</w:t>
      </w:r>
      <w:r w:rsidRPr="00716193">
        <w:rPr>
          <w:rStyle w:val="FootnoteReference"/>
        </w:rPr>
        <w:footnoteReference w:id="16"/>
      </w:r>
      <w:r w:rsidRPr="00716193">
        <w:t xml:space="preserve"> </w:t>
      </w:r>
    </w:p>
    <w:p w:rsidR="004F4CBD" w:rsidRPr="00716193" w:rsidRDefault="004F4CBD" w:rsidP="004F4CBD">
      <w:pPr>
        <w:tabs>
          <w:tab w:val="left" w:pos="0"/>
          <w:tab w:val="left" w:pos="1080"/>
        </w:tabs>
        <w:ind w:firstLine="709"/>
        <w:jc w:val="both"/>
      </w:pPr>
      <w:r w:rsidRPr="00716193">
        <w:t>От министъра са утвърдени вътрешни правила за дейностите, свързани с управлението на търговските дружества с държавно участие в капитала в системата на министерството, които действат през одитирания период.</w:t>
      </w:r>
      <w:r w:rsidRPr="00716193">
        <w:rPr>
          <w:rStyle w:val="FootnoteReference"/>
        </w:rPr>
        <w:footnoteReference w:id="17"/>
      </w:r>
      <w:r w:rsidRPr="00716193">
        <w:t xml:space="preserve"> В тези правила са определени конкретни задължения и отговорности на дирекция „ИПУС“, съответно „СИУДУ“, във връзка с подпомагане </w:t>
      </w:r>
      <w:r w:rsidR="00DC46CC" w:rsidRPr="00716193">
        <w:t>на</w:t>
      </w:r>
      <w:r w:rsidRPr="00716193">
        <w:t xml:space="preserve"> министъра при упражняване правата му на едноличен собственик на капитала в едноличните търговски дружества, в т.ч. в </w:t>
      </w:r>
      <w:r w:rsidR="008F0D28" w:rsidRPr="00716193">
        <w:t>„</w:t>
      </w:r>
      <w:r w:rsidRPr="00716193">
        <w:t>НСБ</w:t>
      </w:r>
      <w:r w:rsidR="008F0D28" w:rsidRPr="00716193">
        <w:t>“</w:t>
      </w:r>
      <w:r w:rsidRPr="00716193">
        <w:t xml:space="preserve"> ЕАД.</w:t>
      </w:r>
    </w:p>
    <w:p w:rsidR="00962CEB" w:rsidRPr="00716193" w:rsidRDefault="004F4CBD" w:rsidP="00424D8B">
      <w:pPr>
        <w:tabs>
          <w:tab w:val="left" w:pos="0"/>
          <w:tab w:val="left" w:pos="1080"/>
        </w:tabs>
        <w:ind w:firstLine="709"/>
        <w:jc w:val="both"/>
        <w:rPr>
          <w:rFonts w:eastAsia="Calibri"/>
          <w:lang w:eastAsia="en-US"/>
        </w:rPr>
      </w:pPr>
      <w:r w:rsidRPr="00716193">
        <w:t>Съгласно „Вътрешните правила за дейностите, свързани с управлението на търговските дружества и други дружества с държавно участие от системата на Министерство на физическото възпитание и спорта“, в сила от 01.11.2009 г., на дирекция „ИПУС“ към МФВС са вменени задължения, както следва:</w:t>
      </w:r>
      <w:r w:rsidR="00826B12" w:rsidRPr="00716193">
        <w:t xml:space="preserve"> </w:t>
      </w:r>
      <w:r w:rsidRPr="00716193">
        <w:rPr>
          <w:rFonts w:eastAsia="Calibri"/>
          <w:lang w:eastAsia="en-US"/>
        </w:rPr>
        <w:t>да изготвя анализ на основните икономически показатели, сравнени с предходната година;</w:t>
      </w:r>
      <w:r w:rsidR="00826B12" w:rsidRPr="00716193">
        <w:rPr>
          <w:rFonts w:eastAsia="Calibri"/>
          <w:lang w:eastAsia="en-US"/>
        </w:rPr>
        <w:t xml:space="preserve"> </w:t>
      </w:r>
      <w:r w:rsidRPr="00716193">
        <w:rPr>
          <w:rFonts w:eastAsia="Calibri"/>
          <w:lang w:eastAsia="en-US"/>
        </w:rPr>
        <w:t xml:space="preserve">да изготвя съгласуван проект на протокол, въз основа на който министърът на физическото възпитание и спорта издава съответното разрешение за отдаване под наем на дълготрайни активи, чиято балансова стойност надхвърля 5 на сто от общата балансова стойност на дълготрайните активи – след провеждане на търг или конкурс по реда на ПРУПДТДДУК, а при пряко </w:t>
      </w:r>
      <w:r w:rsidR="00424D8B" w:rsidRPr="00716193">
        <w:rPr>
          <w:rFonts w:eastAsia="Calibri"/>
          <w:lang w:eastAsia="en-US"/>
        </w:rPr>
        <w:br/>
      </w:r>
      <w:r w:rsidRPr="00716193">
        <w:rPr>
          <w:rFonts w:eastAsia="Calibri"/>
          <w:lang w:eastAsia="en-US"/>
        </w:rPr>
        <w:t>договаряне – независимо от размера на балансовата стойност;</w:t>
      </w:r>
      <w:r w:rsidR="00826B12" w:rsidRPr="00716193">
        <w:rPr>
          <w:rFonts w:eastAsia="Calibri"/>
          <w:lang w:eastAsia="en-US"/>
        </w:rPr>
        <w:t xml:space="preserve"> и </w:t>
      </w:r>
      <w:r w:rsidRPr="00716193">
        <w:rPr>
          <w:rFonts w:eastAsia="Calibri"/>
          <w:lang w:eastAsia="en-US"/>
        </w:rPr>
        <w:t>да съхранява документацията относно проведения конкурс за възлагане управлението на дружеството.</w:t>
      </w:r>
    </w:p>
    <w:p w:rsidR="004F4CBD" w:rsidRPr="00716193" w:rsidRDefault="004F4CBD" w:rsidP="004F4CBD">
      <w:pPr>
        <w:jc w:val="both"/>
        <w:rPr>
          <w:rFonts w:eastAsia="Calibri"/>
          <w:lang w:eastAsia="en-US"/>
        </w:rPr>
      </w:pPr>
      <w:r w:rsidRPr="00716193">
        <w:rPr>
          <w:rFonts w:eastAsia="Calibri"/>
          <w:lang w:eastAsia="en-US"/>
        </w:rPr>
        <w:tab/>
      </w:r>
      <w:r w:rsidRPr="00716193">
        <w:t>С „Вътрешните правила за дейностите, свързани с управлението на търговските дружества със сто на сто държавно участие в капитала от системата на Министерство на младежта и спорта“,</w:t>
      </w:r>
      <w:r w:rsidR="00415455" w:rsidRPr="00716193">
        <w:t xml:space="preserve"> (вътрешните правила)</w:t>
      </w:r>
      <w:r w:rsidRPr="00716193">
        <w:t xml:space="preserve"> в сила от 17.12.2013 г., на дирекция „СИУДУ“ към ММС, освен изброените вече по-горе, са вменени повече задължения, а именно</w:t>
      </w:r>
      <w:r w:rsidR="00826B12" w:rsidRPr="00716193">
        <w:t xml:space="preserve"> </w:t>
      </w:r>
      <w:r w:rsidRPr="00716193">
        <w:rPr>
          <w:rFonts w:eastAsia="Calibri"/>
          <w:lang w:eastAsia="en-US"/>
        </w:rPr>
        <w:t>да изготвя</w:t>
      </w:r>
      <w:r w:rsidR="00494F01" w:rsidRPr="00716193">
        <w:rPr>
          <w:rFonts w:eastAsia="Calibri"/>
          <w:lang w:eastAsia="en-US"/>
        </w:rPr>
        <w:t>:</w:t>
      </w:r>
      <w:r w:rsidRPr="00716193">
        <w:rPr>
          <w:rFonts w:eastAsia="Calibri"/>
          <w:lang w:eastAsia="en-US"/>
        </w:rPr>
        <w:t xml:space="preserve"> анализ на основните икономически показатели, сравнени с бизнес-програмата за съответната година; доклад до министъра, въз основа на представените тримесечни отчети, </w:t>
      </w:r>
      <w:r w:rsidRPr="00716193">
        <w:t xml:space="preserve">с изводи, относно моментното състояние на дружествата, в т.ч. на </w:t>
      </w:r>
      <w:r w:rsidR="008F0D28" w:rsidRPr="00716193">
        <w:t>„</w:t>
      </w:r>
      <w:r w:rsidRPr="00716193">
        <w:t>НСБ</w:t>
      </w:r>
      <w:r w:rsidR="008F0D28" w:rsidRPr="00716193">
        <w:t>“</w:t>
      </w:r>
      <w:r w:rsidRPr="00716193">
        <w:t xml:space="preserve"> ЕАД, и препоръки, съответстващи на резултатите от сравнителния анализ</w:t>
      </w:r>
      <w:r w:rsidRPr="00716193">
        <w:rPr>
          <w:rFonts w:eastAsia="Calibri"/>
          <w:lang w:eastAsia="en-US"/>
        </w:rPr>
        <w:t>.</w:t>
      </w:r>
    </w:p>
    <w:p w:rsidR="004F4CBD" w:rsidRPr="00716193" w:rsidRDefault="004F4CBD" w:rsidP="004F4CBD">
      <w:pPr>
        <w:jc w:val="both"/>
        <w:rPr>
          <w:rFonts w:eastAsia="Calibri"/>
          <w:lang w:eastAsia="en-US"/>
        </w:rPr>
      </w:pPr>
      <w:r w:rsidRPr="00716193">
        <w:rPr>
          <w:rFonts w:eastAsia="Calibri"/>
          <w:lang w:eastAsia="en-US"/>
        </w:rPr>
        <w:tab/>
        <w:t>Установ</w:t>
      </w:r>
      <w:r w:rsidR="00826B12" w:rsidRPr="00716193">
        <w:rPr>
          <w:rFonts w:eastAsia="Calibri"/>
          <w:lang w:eastAsia="en-US"/>
        </w:rPr>
        <w:t>ено</w:t>
      </w:r>
      <w:r w:rsidRPr="00716193">
        <w:rPr>
          <w:rFonts w:eastAsia="Calibri"/>
          <w:lang w:eastAsia="en-US"/>
        </w:rPr>
        <w:t xml:space="preserve"> е, че през 2013 г., от дирекция </w:t>
      </w:r>
      <w:r w:rsidRPr="00716193">
        <w:t xml:space="preserve">„ИПУС“ е изготвен и представен на министъра анализ на </w:t>
      </w:r>
      <w:r w:rsidRPr="00716193">
        <w:rPr>
          <w:rFonts w:eastAsia="Calibri"/>
          <w:lang w:eastAsia="en-US"/>
        </w:rPr>
        <w:t xml:space="preserve">основните икономически показатели на </w:t>
      </w:r>
      <w:r w:rsidR="008F0D28" w:rsidRPr="00716193">
        <w:rPr>
          <w:rFonts w:eastAsia="Calibri"/>
          <w:lang w:eastAsia="en-US"/>
        </w:rPr>
        <w:t>„</w:t>
      </w:r>
      <w:r w:rsidRPr="00716193">
        <w:rPr>
          <w:rFonts w:eastAsia="Calibri"/>
          <w:lang w:eastAsia="en-US"/>
        </w:rPr>
        <w:t>НСБ</w:t>
      </w:r>
      <w:r w:rsidR="008F0D28" w:rsidRPr="00716193">
        <w:rPr>
          <w:rFonts w:eastAsia="Calibri"/>
          <w:lang w:eastAsia="en-US"/>
        </w:rPr>
        <w:t>“</w:t>
      </w:r>
      <w:r w:rsidRPr="00716193">
        <w:rPr>
          <w:rFonts w:eastAsia="Calibri"/>
          <w:lang w:eastAsia="en-US"/>
        </w:rPr>
        <w:t xml:space="preserve"> ЕАД за 2012 г., сравнени с предходната година, което е в съответствие с изискването на чл. 2, ал. 4 от Вътрешните </w:t>
      </w:r>
      <w:r w:rsidRPr="00716193">
        <w:rPr>
          <w:rFonts w:eastAsia="Calibri"/>
          <w:lang w:eastAsia="en-US"/>
        </w:rPr>
        <w:lastRenderedPageBreak/>
        <w:t>правила за дейностите, свързани с управлението на търговските дружества и други дружества с държавно участие от системата на МФВС, в сила от 01.11.2009 г.</w:t>
      </w:r>
      <w:r w:rsidRPr="00716193">
        <w:rPr>
          <w:rStyle w:val="FootnoteReference"/>
        </w:rPr>
        <w:footnoteReference w:id="18"/>
      </w:r>
    </w:p>
    <w:p w:rsidR="004F4CBD" w:rsidRPr="00716193" w:rsidRDefault="004F4CBD" w:rsidP="004F4CBD">
      <w:pPr>
        <w:ind w:firstLine="360"/>
        <w:jc w:val="both"/>
      </w:pPr>
      <w:r w:rsidRPr="00716193">
        <w:rPr>
          <w:rFonts w:eastAsia="Calibri"/>
          <w:lang w:eastAsia="en-US"/>
        </w:rPr>
        <w:tab/>
        <w:t xml:space="preserve">През 2014 г., от дирекция  </w:t>
      </w:r>
      <w:r w:rsidRPr="00716193">
        <w:t>„СИУДУ“</w:t>
      </w:r>
      <w:r w:rsidRPr="00716193">
        <w:rPr>
          <w:rFonts w:eastAsia="Calibri"/>
          <w:lang w:eastAsia="en-US"/>
        </w:rPr>
        <w:t xml:space="preserve"> не е изготвен </w:t>
      </w:r>
      <w:r w:rsidRPr="00716193">
        <w:t xml:space="preserve">и представен на министъра анализ на </w:t>
      </w:r>
      <w:r w:rsidRPr="00716193">
        <w:rPr>
          <w:rFonts w:eastAsia="Calibri"/>
          <w:lang w:eastAsia="en-US"/>
        </w:rPr>
        <w:t xml:space="preserve">основните икономически показатели на </w:t>
      </w:r>
      <w:r w:rsidR="008F0D28" w:rsidRPr="00716193">
        <w:rPr>
          <w:rFonts w:eastAsia="Calibri"/>
          <w:lang w:eastAsia="en-US"/>
        </w:rPr>
        <w:t>„</w:t>
      </w:r>
      <w:r w:rsidRPr="00716193">
        <w:rPr>
          <w:rFonts w:eastAsia="Calibri"/>
          <w:lang w:eastAsia="en-US"/>
        </w:rPr>
        <w:t>НСБ</w:t>
      </w:r>
      <w:r w:rsidR="008F0D28" w:rsidRPr="00716193">
        <w:rPr>
          <w:rFonts w:eastAsia="Calibri"/>
          <w:lang w:eastAsia="en-US"/>
        </w:rPr>
        <w:t>“</w:t>
      </w:r>
      <w:r w:rsidRPr="00716193">
        <w:rPr>
          <w:rFonts w:eastAsia="Calibri"/>
          <w:lang w:eastAsia="en-US"/>
        </w:rPr>
        <w:t xml:space="preserve"> ЕАД за 2013 г., сравнени с предходната година и с бизнес-програмата за съответната година, </w:t>
      </w:r>
      <w:r w:rsidR="00C71EBE" w:rsidRPr="00716193">
        <w:rPr>
          <w:rFonts w:eastAsia="Calibri"/>
          <w:spacing w:val="-2"/>
          <w:lang w:eastAsia="en-US"/>
        </w:rPr>
        <w:t xml:space="preserve">което е в несъответствие с изискването на чл. 2, ал. 4 от </w:t>
      </w:r>
      <w:r w:rsidR="00415455" w:rsidRPr="00716193">
        <w:t xml:space="preserve">вътрешните </w:t>
      </w:r>
      <w:r w:rsidRPr="00716193">
        <w:t>правила, в сила от 17.12.2013 г.</w:t>
      </w:r>
      <w:r w:rsidRPr="00716193">
        <w:rPr>
          <w:rStyle w:val="FootnoteReference"/>
        </w:rPr>
        <w:footnoteReference w:id="19"/>
      </w:r>
      <w:r w:rsidRPr="00716193">
        <w:t xml:space="preserve"> </w:t>
      </w:r>
    </w:p>
    <w:p w:rsidR="004F4CBD" w:rsidRPr="00716193" w:rsidRDefault="004F4CBD" w:rsidP="004F4CBD">
      <w:pPr>
        <w:ind w:firstLine="709"/>
        <w:jc w:val="both"/>
        <w:rPr>
          <w:rFonts w:eastAsia="Calibri"/>
          <w:lang w:eastAsia="en-US"/>
        </w:rPr>
      </w:pPr>
      <w:r w:rsidRPr="00716193">
        <w:rPr>
          <w:rFonts w:eastAsia="Calibri"/>
          <w:lang w:eastAsia="en-US"/>
        </w:rPr>
        <w:t xml:space="preserve">От </w:t>
      </w:r>
      <w:r w:rsidRPr="00716193">
        <w:rPr>
          <w:rFonts w:eastAsia="Calibri"/>
        </w:rPr>
        <w:t xml:space="preserve">дирекция </w:t>
      </w:r>
      <w:r w:rsidRPr="00716193">
        <w:t xml:space="preserve">„СИУДУ“ не е изготвян доклад до министъра, въз основа на представените тримесечни отчети през 2014 г., с изводи, относно моментното състояние на </w:t>
      </w:r>
      <w:r w:rsidR="008F0D28" w:rsidRPr="00716193">
        <w:t>„</w:t>
      </w:r>
      <w:r w:rsidRPr="00716193">
        <w:t>НСБ</w:t>
      </w:r>
      <w:r w:rsidR="008F0D28" w:rsidRPr="00716193">
        <w:t>“</w:t>
      </w:r>
      <w:r w:rsidRPr="00716193">
        <w:t xml:space="preserve"> ЕАД, и препоръки, съответстващи на резултатите от сравнителния анализ, съгласно изискването на чл. 3, ал. 4 от горецитираните правила.</w:t>
      </w:r>
      <w:r w:rsidRPr="00716193">
        <w:rPr>
          <w:rStyle w:val="FootnoteReference"/>
        </w:rPr>
        <w:footnoteReference w:id="20"/>
      </w:r>
      <w:r w:rsidRPr="00716193">
        <w:t xml:space="preserve"> Изготвен е само анализ на финансово-икономическата дейност на </w:t>
      </w:r>
      <w:r w:rsidR="008F0D28" w:rsidRPr="00716193">
        <w:t>„</w:t>
      </w:r>
      <w:r w:rsidRPr="00716193">
        <w:t>НСБ</w:t>
      </w:r>
      <w:r w:rsidR="008F0D28" w:rsidRPr="00716193">
        <w:t>“</w:t>
      </w:r>
      <w:r w:rsidRPr="00716193">
        <w:t xml:space="preserve"> ЕАД към 30.06.2013 г.</w:t>
      </w:r>
      <w:r w:rsidRPr="00716193">
        <w:rPr>
          <w:rStyle w:val="FootnoteReference"/>
        </w:rPr>
        <w:footnoteReference w:id="21"/>
      </w:r>
      <w:r w:rsidRPr="00716193">
        <w:rPr>
          <w:rFonts w:eastAsia="Calibri"/>
          <w:lang w:eastAsia="en-US"/>
        </w:rPr>
        <w:t xml:space="preserve"> </w:t>
      </w:r>
    </w:p>
    <w:p w:rsidR="004F4CBD" w:rsidRPr="00716193" w:rsidRDefault="004F4CBD" w:rsidP="004F4CBD">
      <w:pPr>
        <w:jc w:val="both"/>
        <w:rPr>
          <w:rFonts w:eastAsia="Calibri"/>
          <w:lang w:eastAsia="en-US"/>
        </w:rPr>
      </w:pPr>
      <w:r w:rsidRPr="00716193">
        <w:rPr>
          <w:rFonts w:eastAsia="Calibri"/>
          <w:lang w:eastAsia="en-US"/>
        </w:rPr>
        <w:tab/>
        <w:t xml:space="preserve">През одитирания период са дадени общо 12 разрешения от министъра </w:t>
      </w:r>
      <w:r w:rsidRPr="00716193">
        <w:rPr>
          <w:rFonts w:eastAsia="Calibri"/>
        </w:rPr>
        <w:t xml:space="preserve">за отдаване под наем на дълготрайни активи на </w:t>
      </w:r>
      <w:r w:rsidR="008F0D28" w:rsidRPr="00716193">
        <w:rPr>
          <w:rFonts w:eastAsia="Calibri"/>
        </w:rPr>
        <w:t>„</w:t>
      </w:r>
      <w:r w:rsidRPr="00716193">
        <w:rPr>
          <w:rFonts w:eastAsia="Calibri"/>
        </w:rPr>
        <w:t>НСБ</w:t>
      </w:r>
      <w:r w:rsidR="008F0D28" w:rsidRPr="00716193">
        <w:rPr>
          <w:rFonts w:eastAsia="Calibri"/>
        </w:rPr>
        <w:t>“</w:t>
      </w:r>
      <w:r w:rsidRPr="00716193">
        <w:rPr>
          <w:rFonts w:eastAsia="Calibri"/>
        </w:rPr>
        <w:t xml:space="preserve"> ЕАД чрез пряко договаряне по реда на чл. 17 от ПРУПДТДДУК. Установ</w:t>
      </w:r>
      <w:r w:rsidR="00415455" w:rsidRPr="00716193">
        <w:rPr>
          <w:rFonts w:eastAsia="Calibri"/>
        </w:rPr>
        <w:t>ено</w:t>
      </w:r>
      <w:r w:rsidRPr="00716193">
        <w:rPr>
          <w:rFonts w:eastAsia="Calibri"/>
        </w:rPr>
        <w:t xml:space="preserve"> е, че за всяко от 12-те разрешения от министъра, има </w:t>
      </w:r>
      <w:r w:rsidRPr="00716193">
        <w:rPr>
          <w:rFonts w:eastAsia="Calibri"/>
          <w:lang w:eastAsia="en-US"/>
        </w:rPr>
        <w:t xml:space="preserve">съгласуван с дирекция </w:t>
      </w:r>
      <w:r w:rsidRPr="00716193">
        <w:t xml:space="preserve">„ИПУС“/ „СИУДУ“ </w:t>
      </w:r>
      <w:r w:rsidRPr="00716193">
        <w:rPr>
          <w:rFonts w:eastAsia="Calibri"/>
          <w:lang w:eastAsia="en-US"/>
        </w:rPr>
        <w:t>проект на протокол, въз основа на който министърът издава съответното разрешение</w:t>
      </w:r>
      <w:r w:rsidRPr="00716193">
        <w:t xml:space="preserve">, което е в съответствие с изискването на чл. 6, т. 12 във връзка с чл. 5 от </w:t>
      </w:r>
      <w:r w:rsidR="00415455" w:rsidRPr="00716193">
        <w:rPr>
          <w:rFonts w:eastAsia="Calibri"/>
          <w:lang w:eastAsia="en-US"/>
        </w:rPr>
        <w:t>в</w:t>
      </w:r>
      <w:r w:rsidRPr="00716193">
        <w:rPr>
          <w:rFonts w:eastAsia="Calibri"/>
          <w:lang w:eastAsia="en-US"/>
        </w:rPr>
        <w:t>ътрешните правила, в сила от 17.12.2013 г.</w:t>
      </w:r>
      <w:r w:rsidRPr="00716193">
        <w:rPr>
          <w:rStyle w:val="FootnoteReference"/>
          <w:rFonts w:eastAsia="Calibri"/>
          <w:lang w:eastAsia="en-US"/>
        </w:rPr>
        <w:footnoteReference w:id="22"/>
      </w:r>
    </w:p>
    <w:p w:rsidR="004F4CBD" w:rsidRPr="00716193" w:rsidRDefault="004F4CBD" w:rsidP="004F4CBD">
      <w:pPr>
        <w:ind w:firstLine="360"/>
        <w:jc w:val="both"/>
        <w:rPr>
          <w:rFonts w:eastAsia="Calibri"/>
          <w:lang w:eastAsia="en-US"/>
        </w:rPr>
      </w:pPr>
      <w:r w:rsidRPr="00716193">
        <w:tab/>
        <w:t>Във връзка с правомощие на дирекция „ИПУС“/„СИУДУ“</w:t>
      </w:r>
      <w:r w:rsidRPr="00716193">
        <w:rPr>
          <w:rFonts w:eastAsia="Calibri"/>
          <w:lang w:eastAsia="en-US"/>
        </w:rPr>
        <w:t xml:space="preserve"> да съхранява документацията относно проведени конкурси за възлагане управлението на дружеството,</w:t>
      </w:r>
      <w:r w:rsidRPr="00716193">
        <w:t xml:space="preserve"> съгласно вътрешните правила,</w:t>
      </w:r>
      <w:r w:rsidRPr="00716193">
        <w:rPr>
          <w:rFonts w:eastAsia="Calibri"/>
          <w:lang w:eastAsia="en-US"/>
        </w:rPr>
        <w:t xml:space="preserve"> е установ</w:t>
      </w:r>
      <w:r w:rsidR="00994A5B" w:rsidRPr="00716193">
        <w:rPr>
          <w:rFonts w:eastAsia="Calibri"/>
          <w:lang w:eastAsia="en-US"/>
        </w:rPr>
        <w:t>ено</w:t>
      </w:r>
      <w:r w:rsidRPr="00716193">
        <w:rPr>
          <w:rFonts w:eastAsia="Calibri"/>
          <w:lang w:eastAsia="en-US"/>
        </w:rPr>
        <w:t xml:space="preserve">, че през одитирания период не са провеждани конкурси за възлагане управлението на </w:t>
      </w:r>
      <w:r w:rsidR="008F0D28" w:rsidRPr="00716193">
        <w:rPr>
          <w:rFonts w:eastAsia="Calibri"/>
          <w:lang w:eastAsia="en-US"/>
        </w:rPr>
        <w:t>„</w:t>
      </w:r>
      <w:r w:rsidRPr="00716193">
        <w:rPr>
          <w:rFonts w:eastAsia="Calibri"/>
          <w:lang w:eastAsia="en-US"/>
        </w:rPr>
        <w:t>НСБ</w:t>
      </w:r>
      <w:r w:rsidR="008F0D28" w:rsidRPr="00716193">
        <w:rPr>
          <w:rFonts w:eastAsia="Calibri"/>
          <w:lang w:eastAsia="en-US"/>
        </w:rPr>
        <w:t>“</w:t>
      </w:r>
      <w:r w:rsidRPr="00716193">
        <w:rPr>
          <w:rFonts w:eastAsia="Calibri"/>
          <w:lang w:eastAsia="en-US"/>
        </w:rPr>
        <w:t xml:space="preserve"> ЕАД, </w:t>
      </w:r>
      <w:r w:rsidR="00994A5B" w:rsidRPr="00716193">
        <w:rPr>
          <w:rFonts w:eastAsia="Calibri"/>
          <w:lang w:eastAsia="en-US"/>
        </w:rPr>
        <w:t xml:space="preserve">поради </w:t>
      </w:r>
      <w:r w:rsidRPr="00716193">
        <w:rPr>
          <w:rFonts w:eastAsia="Calibri"/>
          <w:lang w:eastAsia="en-US"/>
        </w:rPr>
        <w:t xml:space="preserve">което не </w:t>
      </w:r>
      <w:r w:rsidR="00994A5B" w:rsidRPr="00716193">
        <w:rPr>
          <w:rFonts w:eastAsia="Calibri"/>
          <w:lang w:eastAsia="en-US"/>
        </w:rPr>
        <w:t>се съхранява такава документация</w:t>
      </w:r>
      <w:r w:rsidRPr="00716193">
        <w:rPr>
          <w:rFonts w:eastAsia="Calibri"/>
          <w:lang w:eastAsia="en-US"/>
        </w:rPr>
        <w:t>.</w:t>
      </w:r>
      <w:r w:rsidRPr="00716193">
        <w:rPr>
          <w:rStyle w:val="FootnoteReference"/>
          <w:rFonts w:eastAsia="Calibri"/>
          <w:lang w:eastAsia="en-US"/>
        </w:rPr>
        <w:footnoteReference w:id="23"/>
      </w:r>
    </w:p>
    <w:p w:rsidR="004F4CBD" w:rsidRPr="00716193" w:rsidRDefault="004F4CBD" w:rsidP="004F4CBD">
      <w:pPr>
        <w:tabs>
          <w:tab w:val="left" w:pos="0"/>
          <w:tab w:val="left" w:pos="1080"/>
        </w:tabs>
        <w:ind w:firstLine="709"/>
        <w:jc w:val="both"/>
      </w:pPr>
    </w:p>
    <w:p w:rsidR="004F4CBD" w:rsidRPr="00716193" w:rsidRDefault="004F4CBD" w:rsidP="004F4CBD">
      <w:pPr>
        <w:jc w:val="both"/>
        <w:rPr>
          <w:bCs/>
          <w:i/>
        </w:rPr>
      </w:pPr>
      <w:r w:rsidRPr="00716193">
        <w:rPr>
          <w:bCs/>
          <w:i/>
        </w:rPr>
        <w:tab/>
        <w:t>Определено е структурно звено, с правомощия и отговорности, което да подпомага министъра в рамките на неговата компетентност</w:t>
      </w:r>
      <w:r w:rsidRPr="00716193">
        <w:rPr>
          <w:i/>
        </w:rPr>
        <w:t xml:space="preserve"> при провеждане политиката по отношение на търговските дружества, в т.ч. </w:t>
      </w:r>
      <w:r w:rsidR="008F0D28" w:rsidRPr="00716193">
        <w:rPr>
          <w:i/>
        </w:rPr>
        <w:t>„</w:t>
      </w:r>
      <w:r w:rsidRPr="00716193">
        <w:rPr>
          <w:i/>
        </w:rPr>
        <w:t>НСБ</w:t>
      </w:r>
      <w:r w:rsidR="008F0D28" w:rsidRPr="00716193">
        <w:rPr>
          <w:i/>
        </w:rPr>
        <w:t>“</w:t>
      </w:r>
      <w:r w:rsidRPr="00716193">
        <w:rPr>
          <w:i/>
        </w:rPr>
        <w:t xml:space="preserve"> ЕАД</w:t>
      </w:r>
      <w:r w:rsidRPr="00716193">
        <w:rPr>
          <w:bCs/>
          <w:i/>
        </w:rPr>
        <w:t xml:space="preserve">, в съответствие с Устройствения правилник на МФВС/ММС. </w:t>
      </w:r>
    </w:p>
    <w:p w:rsidR="004F4CBD" w:rsidRPr="00716193" w:rsidRDefault="004F4CBD" w:rsidP="004F4CBD">
      <w:pPr>
        <w:jc w:val="both"/>
        <w:rPr>
          <w:bCs/>
          <w:i/>
        </w:rPr>
      </w:pPr>
      <w:r w:rsidRPr="00716193">
        <w:rPr>
          <w:bCs/>
          <w:i/>
        </w:rPr>
        <w:tab/>
        <w:t xml:space="preserve">Установено е частично </w:t>
      </w:r>
      <w:r w:rsidR="00994A5B" w:rsidRPr="00716193">
        <w:rPr>
          <w:bCs/>
          <w:i/>
        </w:rPr>
        <w:t xml:space="preserve">несъответствие на дейностите, свързани с </w:t>
      </w:r>
      <w:r w:rsidR="00A4492C" w:rsidRPr="00716193">
        <w:rPr>
          <w:bCs/>
          <w:i/>
        </w:rPr>
        <w:t xml:space="preserve">подпомагане на министъра в </w:t>
      </w:r>
      <w:r w:rsidR="00994A5B" w:rsidRPr="00716193">
        <w:rPr>
          <w:bCs/>
          <w:i/>
        </w:rPr>
        <w:t xml:space="preserve">управлението на „НСБ“ ЕАД </w:t>
      </w:r>
      <w:r w:rsidRPr="00716193">
        <w:rPr>
          <w:bCs/>
          <w:i/>
        </w:rPr>
        <w:t xml:space="preserve">от страна на дирекция </w:t>
      </w:r>
      <w:r w:rsidRPr="00716193">
        <w:rPr>
          <w:i/>
        </w:rPr>
        <w:t>„ИПУС“/„СИУДУ“</w:t>
      </w:r>
      <w:r w:rsidR="00A4492C" w:rsidRPr="00716193">
        <w:rPr>
          <w:i/>
        </w:rPr>
        <w:t>, с тези</w:t>
      </w:r>
      <w:r w:rsidRPr="00716193">
        <w:rPr>
          <w:bCs/>
          <w:i/>
        </w:rPr>
        <w:t>, определени с вътрешните актове.</w:t>
      </w:r>
    </w:p>
    <w:p w:rsidR="004F4CBD" w:rsidRPr="00716193" w:rsidRDefault="004F4CBD" w:rsidP="004F4CBD">
      <w:pPr>
        <w:jc w:val="both"/>
        <w:rPr>
          <w:rFonts w:eastAsia="Calibri"/>
          <w:i/>
          <w:lang w:eastAsia="en-US"/>
        </w:rPr>
      </w:pPr>
      <w:r w:rsidRPr="00716193">
        <w:rPr>
          <w:bCs/>
          <w:i/>
        </w:rPr>
        <w:tab/>
      </w:r>
      <w:r w:rsidR="00C71EBE" w:rsidRPr="00716193">
        <w:rPr>
          <w:bCs/>
          <w:i/>
        </w:rPr>
        <w:t xml:space="preserve">Въведената </w:t>
      </w:r>
      <w:r w:rsidR="00C71EBE" w:rsidRPr="00716193">
        <w:rPr>
          <w:rFonts w:eastAsia="Calibri"/>
          <w:i/>
          <w:lang w:eastAsia="en-US"/>
        </w:rPr>
        <w:t>контролна дейност</w:t>
      </w:r>
      <w:r w:rsidR="002E0DEC" w:rsidRPr="00716193">
        <w:rPr>
          <w:rFonts w:eastAsia="Calibri"/>
          <w:i/>
          <w:lang w:eastAsia="en-US"/>
        </w:rPr>
        <w:t xml:space="preserve"> по отношение на</w:t>
      </w:r>
      <w:r w:rsidR="00A4492C" w:rsidRPr="00716193">
        <w:rPr>
          <w:rFonts w:eastAsia="Calibri"/>
          <w:i/>
          <w:lang w:eastAsia="en-US"/>
        </w:rPr>
        <w:t xml:space="preserve"> </w:t>
      </w:r>
      <w:r w:rsidR="00C71EBE" w:rsidRPr="00716193">
        <w:rPr>
          <w:rFonts w:eastAsia="Calibri"/>
          <w:i/>
          <w:lang w:eastAsia="en-US"/>
        </w:rPr>
        <w:t>издаване</w:t>
      </w:r>
      <w:r w:rsidR="002E0DEC" w:rsidRPr="00716193">
        <w:rPr>
          <w:rFonts w:eastAsia="Calibri"/>
          <w:i/>
          <w:lang w:eastAsia="en-US"/>
        </w:rPr>
        <w:t>то</w:t>
      </w:r>
      <w:r w:rsidR="00C71EBE" w:rsidRPr="00716193">
        <w:rPr>
          <w:rFonts w:eastAsia="Calibri"/>
          <w:i/>
          <w:lang w:eastAsia="en-US"/>
        </w:rPr>
        <w:t xml:space="preserve"> на </w:t>
      </w:r>
      <w:r w:rsidR="002E0DEC" w:rsidRPr="00716193">
        <w:rPr>
          <w:rFonts w:eastAsia="Calibri"/>
          <w:i/>
          <w:lang w:eastAsia="en-US"/>
        </w:rPr>
        <w:t>разрешения</w:t>
      </w:r>
      <w:r w:rsidR="00C71EBE" w:rsidRPr="00716193">
        <w:rPr>
          <w:rFonts w:eastAsia="Calibri"/>
          <w:i/>
          <w:lang w:eastAsia="en-US"/>
        </w:rPr>
        <w:t xml:space="preserve"> за отдаване под наем на дълготрайни активи, </w:t>
      </w:r>
      <w:r w:rsidR="00A4492C" w:rsidRPr="00716193">
        <w:rPr>
          <w:rFonts w:eastAsia="Calibri"/>
          <w:i/>
          <w:lang w:eastAsia="en-US"/>
        </w:rPr>
        <w:t xml:space="preserve">е </w:t>
      </w:r>
      <w:r w:rsidR="00C71EBE" w:rsidRPr="00716193">
        <w:rPr>
          <w:rFonts w:eastAsia="Calibri"/>
          <w:i/>
          <w:lang w:eastAsia="en-US"/>
        </w:rPr>
        <w:t xml:space="preserve">изпълнявана съобразно регламентирания ред, </w:t>
      </w:r>
      <w:r w:rsidR="00A4492C" w:rsidRPr="00716193">
        <w:rPr>
          <w:rFonts w:eastAsia="Calibri"/>
          <w:i/>
          <w:lang w:eastAsia="en-US"/>
        </w:rPr>
        <w:t xml:space="preserve">и </w:t>
      </w:r>
      <w:r w:rsidR="00C71EBE" w:rsidRPr="00716193">
        <w:rPr>
          <w:rFonts w:eastAsia="Calibri"/>
          <w:i/>
          <w:lang w:eastAsia="en-US"/>
        </w:rPr>
        <w:t xml:space="preserve">е прилагана последователно през целия одитиран период, което предпоставя законосъобразното изпълнение на дейността, </w:t>
      </w:r>
      <w:r w:rsidR="00A4492C" w:rsidRPr="00716193">
        <w:rPr>
          <w:rFonts w:eastAsia="Calibri"/>
          <w:i/>
          <w:lang w:eastAsia="en-US"/>
        </w:rPr>
        <w:t>която обезпечава</w:t>
      </w:r>
      <w:r w:rsidR="00C71EBE" w:rsidRPr="00716193">
        <w:rPr>
          <w:rFonts w:eastAsia="Calibri"/>
          <w:i/>
          <w:lang w:eastAsia="en-US"/>
        </w:rPr>
        <w:t>.</w:t>
      </w:r>
      <w:r w:rsidRPr="00716193">
        <w:rPr>
          <w:rFonts w:eastAsia="Calibri"/>
          <w:i/>
          <w:lang w:eastAsia="en-US"/>
        </w:rPr>
        <w:t xml:space="preserve"> </w:t>
      </w:r>
    </w:p>
    <w:p w:rsidR="004F4CBD" w:rsidRPr="00716193" w:rsidRDefault="004F4CBD" w:rsidP="004F4CBD">
      <w:pPr>
        <w:jc w:val="both"/>
        <w:rPr>
          <w:rFonts w:eastAsia="Calibri"/>
          <w:i/>
          <w:lang w:eastAsia="en-US"/>
        </w:rPr>
      </w:pPr>
    </w:p>
    <w:p w:rsidR="004F4CBD" w:rsidRPr="00716193" w:rsidRDefault="004F4CBD" w:rsidP="002463D2">
      <w:pPr>
        <w:pStyle w:val="BodyText"/>
        <w:spacing w:after="0"/>
        <w:ind w:firstLine="360"/>
        <w:jc w:val="both"/>
        <w:rPr>
          <w:b/>
        </w:rPr>
      </w:pPr>
      <w:r w:rsidRPr="00716193">
        <w:rPr>
          <w:b/>
        </w:rPr>
        <w:tab/>
        <w:t>1.2. Решения по правомощия на едноличния собственик на капитала да изменя и допълва устава и за намаляване и увеличаване на капитала на дружеството</w:t>
      </w:r>
    </w:p>
    <w:p w:rsidR="004F4CBD" w:rsidRPr="00716193" w:rsidRDefault="004F4CBD" w:rsidP="002463D2">
      <w:pPr>
        <w:tabs>
          <w:tab w:val="left" w:pos="0"/>
        </w:tabs>
        <w:ind w:firstLine="709"/>
        <w:jc w:val="both"/>
      </w:pPr>
      <w:r w:rsidRPr="00716193">
        <w:rPr>
          <w:b/>
        </w:rPr>
        <w:t xml:space="preserve">1.2.1. </w:t>
      </w:r>
      <w:r w:rsidRPr="00716193">
        <w:t>Уставът на дружеството, утвърден с Разпореждане № 13 от 29.03.1993 г. на Министерски съвет за преобразуване на Стопанска организация „Спортни имоти и прояви“ в „Национална спортна база“ ЕАД</w:t>
      </w:r>
      <w:r w:rsidRPr="00716193">
        <w:rPr>
          <w:rStyle w:val="FootnoteReference"/>
        </w:rPr>
        <w:footnoteReference w:id="24"/>
      </w:r>
      <w:r w:rsidRPr="00716193">
        <w:t xml:space="preserve">, е изменен и допълнен през одитирания период във връзка </w:t>
      </w:r>
      <w:r w:rsidRPr="00716193">
        <w:lastRenderedPageBreak/>
        <w:t>с взето решение от едноличния собственик за промяна в капитала на дружеството</w:t>
      </w:r>
      <w:r w:rsidR="007D36FA" w:rsidRPr="00716193">
        <w:t>, в съответствие с регламентираните му правомощия</w:t>
      </w:r>
      <w:r w:rsidR="007D36FA" w:rsidRPr="00716193">
        <w:rPr>
          <w:rStyle w:val="FootnoteReference"/>
        </w:rPr>
        <w:footnoteReference w:id="25"/>
      </w:r>
      <w:r w:rsidRPr="00716193">
        <w:t>.</w:t>
      </w:r>
    </w:p>
    <w:p w:rsidR="004F4CBD" w:rsidRPr="00716193" w:rsidRDefault="004F4CBD" w:rsidP="001B1808">
      <w:pPr>
        <w:jc w:val="both"/>
      </w:pPr>
      <w:r w:rsidRPr="00716193">
        <w:rPr>
          <w:rFonts w:eastAsia="Calibri"/>
          <w:lang w:eastAsia="en-US"/>
        </w:rPr>
        <w:tab/>
        <w:t xml:space="preserve"> </w:t>
      </w:r>
      <w:r w:rsidRPr="00716193">
        <w:t>С Решение № 314 от 19.05.2014 г. Министерският съвет възлага на министъра на младежта и спорта да намали капитала на „Национална спортна база“ ЕАД, чрез обезсилване на акции на стойност 62 356 лв.</w:t>
      </w:r>
      <w:r w:rsidRPr="00716193">
        <w:rPr>
          <w:rStyle w:val="FootnoteReference"/>
        </w:rPr>
        <w:footnoteReference w:id="26"/>
      </w:r>
      <w:r w:rsidRPr="00716193">
        <w:t xml:space="preserve">, съответстващи на </w:t>
      </w:r>
      <w:r w:rsidRPr="00716193">
        <w:rPr>
          <w:spacing w:val="-2"/>
        </w:rPr>
        <w:t xml:space="preserve">правото на собственост върху имот </w:t>
      </w:r>
      <w:r w:rsidRPr="00716193">
        <w:rPr>
          <w:spacing w:val="-2"/>
          <w:lang w:val="en-US"/>
        </w:rPr>
        <w:t>(</w:t>
      </w:r>
      <w:r w:rsidRPr="00716193">
        <w:rPr>
          <w:spacing w:val="-2"/>
        </w:rPr>
        <w:t>„Юнашки салон“</w:t>
      </w:r>
      <w:r w:rsidRPr="00716193">
        <w:rPr>
          <w:spacing w:val="-2"/>
          <w:lang w:val="en-US"/>
        </w:rPr>
        <w:t>)</w:t>
      </w:r>
      <w:r w:rsidR="00483CD4" w:rsidRPr="00716193">
        <w:rPr>
          <w:spacing w:val="-2"/>
        </w:rPr>
        <w:t>, намиращ се в гр.</w:t>
      </w:r>
      <w:r w:rsidRPr="00716193">
        <w:rPr>
          <w:spacing w:val="-2"/>
        </w:rPr>
        <w:t xml:space="preserve"> Варна. Със същото решение, Министерски съвет прехвърля безвъзмездно правото на собственост върху имота на община Варна.</w:t>
      </w:r>
      <w:r w:rsidRPr="00716193">
        <w:rPr>
          <w:rStyle w:val="FootnoteReference"/>
          <w:spacing w:val="-2"/>
        </w:rPr>
        <w:footnoteReference w:id="27"/>
      </w:r>
      <w:r w:rsidRPr="00716193">
        <w:rPr>
          <w:spacing w:val="-2"/>
        </w:rPr>
        <w:t xml:space="preserve"> </w:t>
      </w:r>
    </w:p>
    <w:p w:rsidR="004F4CBD" w:rsidRPr="00716193" w:rsidRDefault="004F4CBD" w:rsidP="004F4CBD">
      <w:pPr>
        <w:tabs>
          <w:tab w:val="left" w:pos="0"/>
        </w:tabs>
        <w:ind w:firstLine="709"/>
        <w:jc w:val="both"/>
      </w:pPr>
      <w:r w:rsidRPr="00716193">
        <w:t xml:space="preserve">В съответствие </w:t>
      </w:r>
      <w:r w:rsidR="00C847D8" w:rsidRPr="00716193">
        <w:t xml:space="preserve">с </w:t>
      </w:r>
      <w:r w:rsidR="00BF3A14" w:rsidRPr="00716193">
        <w:t>приложимата правна</w:t>
      </w:r>
      <w:r w:rsidR="00C847D8" w:rsidRPr="00716193">
        <w:t xml:space="preserve"> уредба</w:t>
      </w:r>
      <w:r w:rsidR="00C847D8" w:rsidRPr="00716193">
        <w:rPr>
          <w:rStyle w:val="FootnoteReference"/>
        </w:rPr>
        <w:footnoteReference w:id="28"/>
      </w:r>
      <w:r w:rsidR="00EB1AE1" w:rsidRPr="00716193">
        <w:t xml:space="preserve"> </w:t>
      </w:r>
      <w:r w:rsidRPr="00716193">
        <w:t xml:space="preserve">и във връзка с взетото Решение </w:t>
      </w:r>
      <w:r w:rsidR="00275CB3" w:rsidRPr="00716193">
        <w:br/>
      </w:r>
      <w:r w:rsidRPr="00716193">
        <w:t>№ 314 от 19.05.2014 г. от Министерски съвет</w:t>
      </w:r>
      <w:r w:rsidRPr="00716193">
        <w:rPr>
          <w:rFonts w:eastAsia="Calibri"/>
          <w:lang w:eastAsia="en-US"/>
        </w:rPr>
        <w:t xml:space="preserve">, на 08.07.2014 г., министърът на младежта и спорта, в качеството си на </w:t>
      </w:r>
      <w:r w:rsidR="00053645" w:rsidRPr="00716193">
        <w:rPr>
          <w:rFonts w:eastAsia="Calibri"/>
          <w:lang w:eastAsia="en-US"/>
        </w:rPr>
        <w:t xml:space="preserve">представител на държавата като </w:t>
      </w:r>
      <w:r w:rsidRPr="00716193">
        <w:rPr>
          <w:rFonts w:eastAsia="Calibri"/>
          <w:lang w:eastAsia="en-US"/>
        </w:rPr>
        <w:t xml:space="preserve">едноличен собственик на капитала на </w:t>
      </w:r>
      <w:r w:rsidR="008F0D28" w:rsidRPr="00716193">
        <w:rPr>
          <w:rFonts w:eastAsia="Calibri"/>
          <w:lang w:eastAsia="en-US"/>
        </w:rPr>
        <w:t>„</w:t>
      </w:r>
      <w:r w:rsidRPr="00716193">
        <w:rPr>
          <w:rFonts w:eastAsia="Calibri"/>
          <w:lang w:eastAsia="en-US"/>
        </w:rPr>
        <w:t>НСБ</w:t>
      </w:r>
      <w:r w:rsidR="008F0D28" w:rsidRPr="00716193">
        <w:rPr>
          <w:rFonts w:eastAsia="Calibri"/>
          <w:lang w:eastAsia="en-US"/>
        </w:rPr>
        <w:t>“</w:t>
      </w:r>
      <w:r w:rsidRPr="00716193">
        <w:rPr>
          <w:rFonts w:eastAsia="Calibri"/>
          <w:lang w:eastAsia="en-US"/>
        </w:rPr>
        <w:t xml:space="preserve"> ЕАД, приема решение за намаляване на капитала на дружеството </w:t>
      </w:r>
      <w:r w:rsidRPr="00716193">
        <w:t xml:space="preserve">чрез обезсилване на 62 356 броя акции, собственост на държавата от по 1 лев всяка една, на обща стойност 62 356 лв., съответстващи на стойността на правото на собственост върху недвижимия имот, намиращ се в град Варна. В резултат, капиталът на дружество </w:t>
      </w:r>
      <w:r w:rsidR="008F0D28" w:rsidRPr="00716193">
        <w:t>„</w:t>
      </w:r>
      <w:r w:rsidRPr="00716193">
        <w:t>НСБ</w:t>
      </w:r>
      <w:r w:rsidR="008F0D28" w:rsidRPr="00716193">
        <w:t>“</w:t>
      </w:r>
      <w:r w:rsidRPr="00716193">
        <w:t xml:space="preserve"> ЕАД от 212 050 310 лева е намален на 211 987 954 лева.</w:t>
      </w:r>
      <w:r w:rsidRPr="00716193">
        <w:rPr>
          <w:rStyle w:val="FootnoteReference"/>
        </w:rPr>
        <w:footnoteReference w:id="29"/>
      </w:r>
    </w:p>
    <w:p w:rsidR="004F4CBD" w:rsidRPr="00716193" w:rsidRDefault="004F4CBD" w:rsidP="004F4CBD">
      <w:pPr>
        <w:jc w:val="both"/>
      </w:pPr>
      <w:r w:rsidRPr="00716193">
        <w:tab/>
        <w:t xml:space="preserve">В съответствие с изискването на чл. 232а от ТЗ, за решението на </w:t>
      </w:r>
      <w:r w:rsidR="00352CFC" w:rsidRPr="00716193">
        <w:t xml:space="preserve">министъра на младежта и спорта </w:t>
      </w:r>
      <w:r w:rsidRPr="00716193">
        <w:t>за намаляване на капитала на дружеството, е съставен протокол в писмена форма.</w:t>
      </w:r>
      <w:r w:rsidRPr="00716193">
        <w:rPr>
          <w:rStyle w:val="FootnoteReference"/>
        </w:rPr>
        <w:footnoteReference w:id="30"/>
      </w:r>
    </w:p>
    <w:p w:rsidR="004F4CBD" w:rsidRPr="00716193" w:rsidRDefault="004F4CBD" w:rsidP="004F4CBD">
      <w:pPr>
        <w:jc w:val="both"/>
      </w:pPr>
      <w:r w:rsidRPr="00716193">
        <w:tab/>
        <w:t xml:space="preserve">Министърът на младежта и спорта, </w:t>
      </w:r>
      <w:r w:rsidR="00BF3A14" w:rsidRPr="00716193">
        <w:t>на основание</w:t>
      </w:r>
      <w:r w:rsidRPr="00716193">
        <w:t xml:space="preserve"> чл. 221, т. 1 от ТЗ, </w:t>
      </w:r>
      <w:r w:rsidRPr="00716193">
        <w:rPr>
          <w:rFonts w:eastAsia="Calibri"/>
          <w:lang w:eastAsia="en-US"/>
        </w:rPr>
        <w:t>чл. 12, т. 1 от ПРУПДТДДУК и чл. 17, ал. 1, т. 1 от Устава на дружеството</w:t>
      </w:r>
      <w:r w:rsidRPr="00716193">
        <w:t xml:space="preserve"> и във връзка с взетото решение за намаляване капитала на </w:t>
      </w:r>
      <w:r w:rsidR="008F0D28" w:rsidRPr="00716193">
        <w:t>„</w:t>
      </w:r>
      <w:r w:rsidRPr="00716193">
        <w:t>НСБ</w:t>
      </w:r>
      <w:r w:rsidR="008F0D28" w:rsidRPr="00716193">
        <w:t>“</w:t>
      </w:r>
      <w:r w:rsidRPr="00716193">
        <w:t xml:space="preserve"> ЕАД</w:t>
      </w:r>
      <w:r w:rsidRPr="00716193">
        <w:rPr>
          <w:rFonts w:eastAsia="Calibri"/>
          <w:lang w:eastAsia="en-US"/>
        </w:rPr>
        <w:t>,</w:t>
      </w:r>
      <w:r w:rsidRPr="00716193">
        <w:t xml:space="preserve"> изменя устава на дружеството</w:t>
      </w:r>
      <w:r w:rsidR="00352CFC" w:rsidRPr="00716193">
        <w:t>.</w:t>
      </w:r>
      <w:r w:rsidRPr="00716193">
        <w:rPr>
          <w:rStyle w:val="FootnoteReference"/>
        </w:rPr>
        <w:footnoteReference w:id="31"/>
      </w:r>
      <w:r w:rsidRPr="00716193">
        <w:t xml:space="preserve"> </w:t>
      </w:r>
    </w:p>
    <w:p w:rsidR="008C543E" w:rsidRPr="00716193" w:rsidRDefault="008C543E" w:rsidP="004F4CBD">
      <w:pPr>
        <w:tabs>
          <w:tab w:val="left" w:pos="0"/>
        </w:tabs>
        <w:ind w:firstLine="709"/>
        <w:jc w:val="both"/>
        <w:rPr>
          <w:i/>
        </w:rPr>
      </w:pPr>
    </w:p>
    <w:p w:rsidR="004F4CBD" w:rsidRPr="00716193" w:rsidRDefault="004F4CBD" w:rsidP="004F4CBD">
      <w:pPr>
        <w:tabs>
          <w:tab w:val="left" w:pos="0"/>
        </w:tabs>
        <w:ind w:firstLine="709"/>
        <w:jc w:val="both"/>
        <w:rPr>
          <w:rFonts w:eastAsia="Calibri"/>
          <w:i/>
          <w:lang w:eastAsia="en-US"/>
        </w:rPr>
      </w:pPr>
      <w:r w:rsidRPr="00716193">
        <w:rPr>
          <w:i/>
        </w:rPr>
        <w:t xml:space="preserve">Намаляването на капитала и изменението на Устава на </w:t>
      </w:r>
      <w:r w:rsidR="008F0D28" w:rsidRPr="00716193">
        <w:rPr>
          <w:i/>
        </w:rPr>
        <w:t>„</w:t>
      </w:r>
      <w:r w:rsidRPr="00716193">
        <w:rPr>
          <w:i/>
        </w:rPr>
        <w:t>НСБ</w:t>
      </w:r>
      <w:r w:rsidR="008F0D28" w:rsidRPr="00716193">
        <w:rPr>
          <w:i/>
        </w:rPr>
        <w:t>“</w:t>
      </w:r>
      <w:r w:rsidRPr="00716193">
        <w:rPr>
          <w:i/>
        </w:rPr>
        <w:t xml:space="preserve"> ЕАД през одитирания период са извършени в съответствие с Търговския закон, </w:t>
      </w:r>
      <w:r w:rsidRPr="00716193">
        <w:rPr>
          <w:rFonts w:eastAsia="Calibri"/>
          <w:i/>
          <w:lang w:eastAsia="en-US"/>
        </w:rPr>
        <w:t>ПРУПДТДДУК и Устава на дружеството.</w:t>
      </w:r>
    </w:p>
    <w:p w:rsidR="004F4CBD" w:rsidRPr="00716193" w:rsidRDefault="004F4CBD" w:rsidP="008C543E">
      <w:pPr>
        <w:pStyle w:val="BodyText3"/>
        <w:spacing w:after="0"/>
        <w:jc w:val="both"/>
        <w:rPr>
          <w:rFonts w:ascii="Times New Roman" w:hAnsi="Times New Roman" w:cs="Times New Roman"/>
          <w:sz w:val="24"/>
          <w:szCs w:val="24"/>
        </w:rPr>
      </w:pPr>
      <w:r w:rsidRPr="00716193">
        <w:rPr>
          <w:rFonts w:ascii="Times New Roman" w:hAnsi="Times New Roman" w:cs="Times New Roman"/>
          <w:sz w:val="24"/>
          <w:szCs w:val="24"/>
        </w:rPr>
        <w:tab/>
      </w:r>
      <w:r w:rsidRPr="00716193">
        <w:rPr>
          <w:rFonts w:ascii="Times New Roman" w:hAnsi="Times New Roman" w:cs="Times New Roman"/>
          <w:b/>
          <w:sz w:val="24"/>
          <w:szCs w:val="24"/>
        </w:rPr>
        <w:t>1.2.2.</w:t>
      </w:r>
      <w:r w:rsidRPr="00716193">
        <w:rPr>
          <w:rFonts w:ascii="Times New Roman" w:hAnsi="Times New Roman" w:cs="Times New Roman"/>
          <w:sz w:val="24"/>
          <w:szCs w:val="24"/>
        </w:rPr>
        <w:t xml:space="preserve"> Съгласно актуалния Устав на „Национална спортна база“ ЕАД, акционерният капитал на дружеството е 211 987 954 лв., формиран от парична и непарични вноски</w:t>
      </w:r>
      <w:r w:rsidR="00D05DD8" w:rsidRPr="00716193">
        <w:rPr>
          <w:rFonts w:ascii="Times New Roman" w:hAnsi="Times New Roman" w:cs="Times New Roman"/>
          <w:sz w:val="24"/>
          <w:szCs w:val="24"/>
        </w:rPr>
        <w:t xml:space="preserve"> от държавата</w:t>
      </w:r>
      <w:r w:rsidRPr="00716193">
        <w:rPr>
          <w:rFonts w:ascii="Times New Roman" w:hAnsi="Times New Roman" w:cs="Times New Roman"/>
          <w:sz w:val="24"/>
          <w:szCs w:val="24"/>
        </w:rPr>
        <w:t xml:space="preserve">. </w:t>
      </w:r>
    </w:p>
    <w:p w:rsidR="004F4CBD" w:rsidRPr="00716193" w:rsidRDefault="004F4CBD" w:rsidP="004F4CBD">
      <w:pPr>
        <w:pStyle w:val="BodyText3"/>
        <w:spacing w:after="0"/>
        <w:jc w:val="both"/>
        <w:rPr>
          <w:rFonts w:ascii="Times New Roman" w:hAnsi="Times New Roman" w:cs="Times New Roman"/>
          <w:sz w:val="24"/>
          <w:szCs w:val="24"/>
        </w:rPr>
      </w:pPr>
      <w:r w:rsidRPr="00716193">
        <w:rPr>
          <w:rFonts w:ascii="Times New Roman" w:hAnsi="Times New Roman" w:cs="Times New Roman"/>
          <w:sz w:val="24"/>
          <w:szCs w:val="24"/>
        </w:rPr>
        <w:tab/>
        <w:t>Установ</w:t>
      </w:r>
      <w:r w:rsidR="00EA2B9E" w:rsidRPr="00716193">
        <w:rPr>
          <w:rFonts w:ascii="Times New Roman" w:hAnsi="Times New Roman" w:cs="Times New Roman"/>
          <w:sz w:val="24"/>
          <w:szCs w:val="24"/>
        </w:rPr>
        <w:t>ено</w:t>
      </w:r>
      <w:r w:rsidRPr="00716193">
        <w:rPr>
          <w:rFonts w:ascii="Times New Roman" w:hAnsi="Times New Roman" w:cs="Times New Roman"/>
          <w:sz w:val="24"/>
          <w:szCs w:val="24"/>
        </w:rPr>
        <w:t xml:space="preserve"> е, че сборът на паричните оценки на описаните непарични вноски и паричната вноска е в размер на 167 763 446 лв., което не съответства на размера на капитала с 44 224 508 лв. Последното означава, че дружеството има направени непарични и/или парични вноски, неописани в Устава на дружеството.</w:t>
      </w:r>
      <w:r w:rsidRPr="00716193">
        <w:rPr>
          <w:rStyle w:val="FootnoteReference"/>
          <w:rFonts w:ascii="Times New Roman" w:hAnsi="Times New Roman" w:cs="Times New Roman"/>
          <w:sz w:val="24"/>
          <w:szCs w:val="24"/>
        </w:rPr>
        <w:footnoteReference w:id="32"/>
      </w:r>
      <w:r w:rsidR="00EA2B9E" w:rsidRPr="00716193" w:rsidDel="00EA2B9E">
        <w:rPr>
          <w:rStyle w:val="FootnoteReference"/>
          <w:rFonts w:ascii="Times New Roman" w:hAnsi="Times New Roman" w:cs="Times New Roman"/>
          <w:sz w:val="24"/>
          <w:szCs w:val="24"/>
        </w:rPr>
        <w:t xml:space="preserve"> </w:t>
      </w:r>
      <w:r w:rsidRPr="00716193">
        <w:rPr>
          <w:rFonts w:ascii="Times New Roman" w:hAnsi="Times New Roman" w:cs="Times New Roman"/>
          <w:sz w:val="24"/>
          <w:szCs w:val="24"/>
        </w:rPr>
        <w:t xml:space="preserve"> </w:t>
      </w:r>
    </w:p>
    <w:p w:rsidR="004F4CBD" w:rsidRPr="00716193" w:rsidRDefault="004F4CBD" w:rsidP="004F4CBD">
      <w:pPr>
        <w:pStyle w:val="BodyText3"/>
        <w:spacing w:after="0"/>
        <w:jc w:val="both"/>
        <w:rPr>
          <w:rFonts w:ascii="Times New Roman" w:hAnsi="Times New Roman" w:cs="Times New Roman"/>
          <w:sz w:val="24"/>
          <w:szCs w:val="24"/>
        </w:rPr>
      </w:pPr>
      <w:r w:rsidRPr="00716193">
        <w:rPr>
          <w:rFonts w:ascii="Times New Roman" w:hAnsi="Times New Roman" w:cs="Times New Roman"/>
          <w:sz w:val="24"/>
          <w:szCs w:val="24"/>
        </w:rPr>
        <w:tab/>
        <w:t>Съгласно ч</w:t>
      </w:r>
      <w:r w:rsidR="00EF0FF4" w:rsidRPr="00716193">
        <w:rPr>
          <w:rFonts w:ascii="Times New Roman" w:hAnsi="Times New Roman" w:cs="Times New Roman"/>
          <w:sz w:val="24"/>
          <w:szCs w:val="24"/>
        </w:rPr>
        <w:t>л. 72, ал. 1 от ТЗ</w:t>
      </w:r>
      <w:r w:rsidRPr="00716193">
        <w:rPr>
          <w:rFonts w:ascii="Times New Roman" w:hAnsi="Times New Roman" w:cs="Times New Roman"/>
          <w:sz w:val="24"/>
          <w:szCs w:val="24"/>
        </w:rPr>
        <w:t xml:space="preserve">, при направена непарична вноска от акционер, уставът трябва да съдържа името на вносителя, пълно описание на непаричната вноска, паричната й оценка и основанието на правата му. В чл. 165, т. 5 от същия закон е регламентирано отново това изискване във връзка с определяне съдържанието на устава, </w:t>
      </w:r>
      <w:r w:rsidR="00EF0FF4" w:rsidRPr="00716193">
        <w:rPr>
          <w:rFonts w:ascii="Times New Roman" w:hAnsi="Times New Roman" w:cs="Times New Roman"/>
          <w:sz w:val="24"/>
          <w:szCs w:val="24"/>
        </w:rPr>
        <w:t>който</w:t>
      </w:r>
      <w:r w:rsidRPr="00716193">
        <w:rPr>
          <w:rFonts w:ascii="Times New Roman" w:hAnsi="Times New Roman" w:cs="Times New Roman"/>
          <w:sz w:val="24"/>
          <w:szCs w:val="24"/>
        </w:rPr>
        <w:t xml:space="preserve"> трябва да съдържа информация за вида и стойността на непаричните вноски, ако има такива. </w:t>
      </w:r>
    </w:p>
    <w:p w:rsidR="004F4CBD" w:rsidRPr="00716193" w:rsidRDefault="004F4CBD" w:rsidP="004F4CBD">
      <w:pPr>
        <w:pStyle w:val="NoSpacing"/>
        <w:jc w:val="both"/>
      </w:pPr>
      <w:r w:rsidRPr="00716193">
        <w:lastRenderedPageBreak/>
        <w:tab/>
        <w:t xml:space="preserve">В тази връзка, в края на 2012 г., от ръководството на дружеството, са предприети действия за изменение и допълнение на Устава на </w:t>
      </w:r>
      <w:r w:rsidR="008F0D28" w:rsidRPr="00716193">
        <w:t>„</w:t>
      </w:r>
      <w:r w:rsidRPr="00716193">
        <w:t>НСБ</w:t>
      </w:r>
      <w:r w:rsidR="008F0D28" w:rsidRPr="00716193">
        <w:t>“</w:t>
      </w:r>
      <w:r w:rsidRPr="00716193">
        <w:t xml:space="preserve"> ЕАД. В писмо до министъра, изпълнителният директор на </w:t>
      </w:r>
      <w:r w:rsidR="008F0D28" w:rsidRPr="00716193">
        <w:t>„</w:t>
      </w:r>
      <w:r w:rsidRPr="00716193">
        <w:t>НСБ</w:t>
      </w:r>
      <w:r w:rsidR="008F0D28" w:rsidRPr="00716193">
        <w:t>“</w:t>
      </w:r>
      <w:r w:rsidRPr="00716193">
        <w:t xml:space="preserve"> ЕАД, прави мотивирано предложение за допълването на устава с неописаните в него апортирани в капитала на дружеството недвижими имоти – спортни обекти, като посочва, че непълнотата на устава създава трудности за дружеството при доказване собствеността на неописаните в него имоти и би могла да създаде такива при евентуални бъдещи съдебни спорове за собственост.</w:t>
      </w:r>
      <w:r w:rsidRPr="00716193">
        <w:rPr>
          <w:rStyle w:val="FootnoteReference"/>
        </w:rPr>
        <w:footnoteReference w:id="33"/>
      </w:r>
      <w:r w:rsidRPr="00716193">
        <w:t xml:space="preserve"> </w:t>
      </w:r>
    </w:p>
    <w:p w:rsidR="004F4CBD" w:rsidRPr="00716193" w:rsidRDefault="004F4CBD" w:rsidP="004F4CBD">
      <w:pPr>
        <w:pStyle w:val="NoSpacing"/>
        <w:jc w:val="both"/>
      </w:pPr>
      <w:r w:rsidRPr="00716193">
        <w:t xml:space="preserve"> </w:t>
      </w:r>
      <w:r w:rsidRPr="00716193">
        <w:tab/>
        <w:t>В отговор на това предложение, министърът отказва да измени и допълни устава на дружеството, като</w:t>
      </w:r>
      <w:r w:rsidR="00483CD4" w:rsidRPr="00716193">
        <w:t xml:space="preserve"> аргументира неприлагането на</w:t>
      </w:r>
      <w:r w:rsidRPr="00716193">
        <w:t xml:space="preserve"> чл. 72 от ТЗ, както следва: към момента на преобразуване на Стопанска организация „Спортни имоти и пр</w:t>
      </w:r>
      <w:r w:rsidR="00483CD4" w:rsidRPr="00716193">
        <w:t>ояви“ в „НСБ</w:t>
      </w:r>
      <w:r w:rsidRPr="00716193">
        <w:t>“ ЕАД – 29.03.1993 г.</w:t>
      </w:r>
      <w:r w:rsidRPr="00716193">
        <w:rPr>
          <w:rStyle w:val="FootnoteReference"/>
        </w:rPr>
        <w:footnoteReference w:id="34"/>
      </w:r>
      <w:r w:rsidRPr="00716193">
        <w:t xml:space="preserve"> е действал Законът за преобразуване и приватизация на държавни и общински предприятия</w:t>
      </w:r>
      <w:r w:rsidRPr="00716193">
        <w:rPr>
          <w:lang w:val="en-US"/>
        </w:rPr>
        <w:t xml:space="preserve"> (</w:t>
      </w:r>
      <w:r w:rsidRPr="00716193">
        <w:t>отм., ДВ, бр. 28 от 19.03.2002 г.</w:t>
      </w:r>
      <w:r w:rsidRPr="00716193">
        <w:rPr>
          <w:lang w:val="en-US"/>
        </w:rPr>
        <w:t>)</w:t>
      </w:r>
      <w:r w:rsidRPr="00716193">
        <w:t>. С изм. и доп. в ДВ, бр. 109 от 15.12.1995 г., е създадена нова ал</w:t>
      </w:r>
      <w:r w:rsidR="00673F5B" w:rsidRPr="00716193">
        <w:t>.</w:t>
      </w:r>
      <w:r w:rsidRPr="00716193">
        <w:t xml:space="preserve"> 3 на чл. 17, съгласно която чл. 72 и чл. 73 от ТЗ не се прилагат за преобразуваните държавни или общински предприятия в еднолични търговски дружества. С последващо изменение на този закон </w:t>
      </w:r>
      <w:r w:rsidRPr="00716193">
        <w:rPr>
          <w:lang w:val="en-US"/>
        </w:rPr>
        <w:t>(</w:t>
      </w:r>
      <w:r w:rsidRPr="00716193">
        <w:t>ДВ, бр. 89 от 1997 г.</w:t>
      </w:r>
      <w:r w:rsidRPr="00716193">
        <w:rPr>
          <w:lang w:val="en-US"/>
        </w:rPr>
        <w:t>)</w:t>
      </w:r>
      <w:r w:rsidRPr="00716193">
        <w:t>, чл. 17, ал. 3 регламентира, че чл. 72 и чл. 73 от ТЗ не се прилагат за непарични вноски на държавата в дружества с над 50 на сто държавно участие. Съ</w:t>
      </w:r>
      <w:r w:rsidR="00673F5B" w:rsidRPr="00716193">
        <w:t>щото гласи</w:t>
      </w:r>
      <w:r w:rsidRPr="00716193">
        <w:t xml:space="preserve"> §10,</w:t>
      </w:r>
      <w:r w:rsidR="00483CD4" w:rsidRPr="00716193">
        <w:t xml:space="preserve"> </w:t>
      </w:r>
      <w:r w:rsidRPr="00716193">
        <w:t>ал. 2 от ДР на действащия към момента Закон за приватизация и следприватизационен контрол.</w:t>
      </w:r>
      <w:r w:rsidRPr="00716193">
        <w:rPr>
          <w:rStyle w:val="FootnoteReference"/>
        </w:rPr>
        <w:footnoteReference w:id="35"/>
      </w:r>
      <w:r w:rsidRPr="00716193">
        <w:t xml:space="preserve"> </w:t>
      </w:r>
    </w:p>
    <w:p w:rsidR="004F4CBD" w:rsidRPr="00716193" w:rsidRDefault="004F4CBD" w:rsidP="004F4CBD">
      <w:pPr>
        <w:pStyle w:val="BodyText3"/>
        <w:spacing w:after="0"/>
        <w:jc w:val="both"/>
        <w:rPr>
          <w:rFonts w:ascii="Times New Roman" w:hAnsi="Times New Roman" w:cs="Times New Roman"/>
          <w:sz w:val="24"/>
          <w:szCs w:val="24"/>
        </w:rPr>
      </w:pPr>
      <w:r w:rsidRPr="00716193">
        <w:rPr>
          <w:rFonts w:ascii="Times New Roman" w:hAnsi="Times New Roman" w:cs="Times New Roman"/>
          <w:sz w:val="24"/>
          <w:szCs w:val="24"/>
        </w:rPr>
        <w:tab/>
      </w:r>
      <w:r w:rsidR="00FB7A1C" w:rsidRPr="00716193">
        <w:rPr>
          <w:rFonts w:ascii="Times New Roman" w:hAnsi="Times New Roman" w:cs="Times New Roman"/>
          <w:sz w:val="24"/>
          <w:szCs w:val="24"/>
        </w:rPr>
        <w:t>И</w:t>
      </w:r>
      <w:r w:rsidRPr="00716193">
        <w:rPr>
          <w:rFonts w:ascii="Times New Roman" w:hAnsi="Times New Roman" w:cs="Times New Roman"/>
          <w:sz w:val="24"/>
          <w:szCs w:val="24"/>
        </w:rPr>
        <w:t>зложените аргументи от страна на министъра не са напълно основателни, предвид следното: към момента на преобразуване на Стопанска организация „Спортни имоти и прояви“ в „Национална спортна база“ ЕАД -  29.03.1993 г. е действал</w:t>
      </w:r>
      <w:r w:rsidR="009C0ED8" w:rsidRPr="00716193">
        <w:rPr>
          <w:rFonts w:ascii="Times New Roman" w:hAnsi="Times New Roman" w:cs="Times New Roman"/>
          <w:sz w:val="24"/>
          <w:szCs w:val="24"/>
          <w:lang w:val="en-US"/>
        </w:rPr>
        <w:t xml:space="preserve"> </w:t>
      </w:r>
      <w:r w:rsidRPr="00716193">
        <w:rPr>
          <w:rFonts w:ascii="Times New Roman" w:hAnsi="Times New Roman" w:cs="Times New Roman"/>
          <w:sz w:val="24"/>
          <w:szCs w:val="24"/>
        </w:rPr>
        <w:t>чл. 72 от ТЗ. Законът за преобразуване и приватизация на държавни и общински предприятия</w:t>
      </w:r>
      <w:r w:rsidRPr="00716193">
        <w:rPr>
          <w:rFonts w:ascii="Times New Roman" w:hAnsi="Times New Roman" w:cs="Times New Roman"/>
          <w:sz w:val="24"/>
          <w:szCs w:val="24"/>
          <w:lang w:val="en-US"/>
        </w:rPr>
        <w:t xml:space="preserve"> (</w:t>
      </w:r>
      <w:r w:rsidR="00483CD4" w:rsidRPr="00716193">
        <w:rPr>
          <w:rFonts w:ascii="Times New Roman" w:hAnsi="Times New Roman" w:cs="Times New Roman"/>
          <w:sz w:val="24"/>
          <w:szCs w:val="24"/>
        </w:rPr>
        <w:t>отм.</w:t>
      </w:r>
      <w:r w:rsidRPr="00716193">
        <w:rPr>
          <w:rFonts w:ascii="Times New Roman" w:hAnsi="Times New Roman" w:cs="Times New Roman"/>
          <w:sz w:val="24"/>
          <w:szCs w:val="24"/>
          <w:lang w:val="en-US"/>
        </w:rPr>
        <w:t>)</w:t>
      </w:r>
      <w:r w:rsidRPr="00716193">
        <w:rPr>
          <w:rFonts w:ascii="Times New Roman" w:hAnsi="Times New Roman" w:cs="Times New Roman"/>
          <w:sz w:val="24"/>
          <w:szCs w:val="24"/>
        </w:rPr>
        <w:t xml:space="preserve"> към датата на преобразуване на дружеството не съдържа ал. 3 на чл. 17, която </w:t>
      </w:r>
      <w:r w:rsidR="00CC4A50" w:rsidRPr="00716193">
        <w:rPr>
          <w:rFonts w:ascii="Times New Roman" w:hAnsi="Times New Roman" w:cs="Times New Roman"/>
          <w:sz w:val="24"/>
          <w:szCs w:val="24"/>
        </w:rPr>
        <w:t xml:space="preserve">изключва прилагането на чл. 72 от ТЗ, тъй като разпоредбата </w:t>
      </w:r>
      <w:r w:rsidRPr="00716193">
        <w:rPr>
          <w:rFonts w:ascii="Times New Roman" w:hAnsi="Times New Roman" w:cs="Times New Roman"/>
          <w:sz w:val="24"/>
          <w:szCs w:val="24"/>
        </w:rPr>
        <w:t>е създадена след повече от две години след преобразуването. В допълнение, необходимо е прилагането на чл. 165 от ТЗ</w:t>
      </w:r>
      <w:r w:rsidRPr="00716193">
        <w:rPr>
          <w:rStyle w:val="FootnoteReference"/>
          <w:rFonts w:ascii="Times New Roman" w:hAnsi="Times New Roman" w:cs="Times New Roman"/>
          <w:sz w:val="24"/>
          <w:szCs w:val="24"/>
        </w:rPr>
        <w:footnoteReference w:id="36"/>
      </w:r>
      <w:r w:rsidRPr="00716193">
        <w:rPr>
          <w:rFonts w:ascii="Times New Roman" w:hAnsi="Times New Roman" w:cs="Times New Roman"/>
          <w:sz w:val="24"/>
          <w:szCs w:val="24"/>
        </w:rPr>
        <w:t xml:space="preserve">, който определя съдържанието на устава, и по-конкретно, съгласно изискването на т. 5 от цитираната норма, уставът следва да съдържа информация за вида и стойността на направените непарични вноски. </w:t>
      </w:r>
    </w:p>
    <w:p w:rsidR="004F4CBD" w:rsidRPr="00716193" w:rsidRDefault="004F4CBD" w:rsidP="004F4CBD">
      <w:pPr>
        <w:pStyle w:val="NoSpacing"/>
        <w:jc w:val="both"/>
      </w:pPr>
      <w:r w:rsidRPr="00716193">
        <w:tab/>
        <w:t>От  ръководство</w:t>
      </w:r>
      <w:r w:rsidR="00FB7A1C" w:rsidRPr="00716193">
        <w:t>то</w:t>
      </w:r>
      <w:r w:rsidRPr="00716193">
        <w:t xml:space="preserve"> на дружеството</w:t>
      </w:r>
      <w:r w:rsidR="00D71760" w:rsidRPr="00716193">
        <w:t xml:space="preserve"> </w:t>
      </w:r>
      <w:r w:rsidR="00FB7A1C" w:rsidRPr="00716193">
        <w:t>по време на извършване на одита</w:t>
      </w:r>
      <w:r w:rsidRPr="00716193">
        <w:t xml:space="preserve"> са предприети действия за установяване вида и стойността на неописаните в Устава парични и непарични вноски в акционерния капитал, </w:t>
      </w:r>
      <w:r w:rsidR="00FB7A1C" w:rsidRPr="00716193">
        <w:t>като е</w:t>
      </w:r>
      <w:r w:rsidRPr="00716193">
        <w:t xml:space="preserve"> възложено с договор от 30.03.2015 г. на консултантско дружество извършването на правен анализ на общия статут и състоянието на недвижимите имоти, в т.ч. и включените в акционерния капитал на дружеството, в резултат на който да бъде допълнен Устава на </w:t>
      </w:r>
      <w:r w:rsidR="008F0D28" w:rsidRPr="00716193">
        <w:t>„</w:t>
      </w:r>
      <w:r w:rsidRPr="00716193">
        <w:t>НСБ</w:t>
      </w:r>
      <w:r w:rsidR="008F0D28" w:rsidRPr="00716193">
        <w:t>“</w:t>
      </w:r>
      <w:r w:rsidRPr="00716193">
        <w:t xml:space="preserve"> ЕАД.</w:t>
      </w:r>
      <w:r w:rsidRPr="00716193">
        <w:rPr>
          <w:rStyle w:val="FootnoteReference"/>
        </w:rPr>
        <w:footnoteReference w:id="37"/>
      </w:r>
    </w:p>
    <w:p w:rsidR="004F4CBD" w:rsidRPr="00716193" w:rsidRDefault="004F4CBD" w:rsidP="004F4CBD">
      <w:pPr>
        <w:pStyle w:val="NoSpacing"/>
        <w:jc w:val="both"/>
        <w:rPr>
          <w:b/>
          <w:i/>
        </w:rPr>
      </w:pPr>
      <w:r w:rsidRPr="00716193">
        <w:rPr>
          <w:b/>
          <w:i/>
        </w:rPr>
        <w:tab/>
      </w:r>
    </w:p>
    <w:p w:rsidR="004F4CBD" w:rsidRPr="00716193" w:rsidRDefault="004F4CBD" w:rsidP="004F4CBD">
      <w:pPr>
        <w:pStyle w:val="NoSpacing"/>
        <w:jc w:val="both"/>
        <w:rPr>
          <w:i/>
        </w:rPr>
      </w:pPr>
      <w:r w:rsidRPr="00716193">
        <w:rPr>
          <w:b/>
          <w:i/>
        </w:rPr>
        <w:tab/>
      </w:r>
      <w:r w:rsidRPr="00716193">
        <w:rPr>
          <w:i/>
        </w:rPr>
        <w:t xml:space="preserve">Уставът на </w:t>
      </w:r>
      <w:r w:rsidR="008F0D28" w:rsidRPr="00716193">
        <w:rPr>
          <w:i/>
        </w:rPr>
        <w:t>„</w:t>
      </w:r>
      <w:r w:rsidRPr="00716193">
        <w:rPr>
          <w:i/>
        </w:rPr>
        <w:t>НСБ</w:t>
      </w:r>
      <w:r w:rsidR="008F0D28" w:rsidRPr="00716193">
        <w:rPr>
          <w:i/>
        </w:rPr>
        <w:t>“</w:t>
      </w:r>
      <w:r w:rsidRPr="00716193">
        <w:rPr>
          <w:i/>
        </w:rPr>
        <w:t xml:space="preserve"> ЕАД не е в съответствие с изискван</w:t>
      </w:r>
      <w:r w:rsidR="00CC4A50" w:rsidRPr="00716193">
        <w:rPr>
          <w:i/>
        </w:rPr>
        <w:t>ия</w:t>
      </w:r>
      <w:r w:rsidRPr="00716193">
        <w:rPr>
          <w:i/>
        </w:rPr>
        <w:t>т</w:t>
      </w:r>
      <w:r w:rsidR="00CC4A50" w:rsidRPr="00716193">
        <w:rPr>
          <w:i/>
        </w:rPr>
        <w:t>а</w:t>
      </w:r>
      <w:r w:rsidRPr="00716193">
        <w:rPr>
          <w:i/>
        </w:rPr>
        <w:t xml:space="preserve"> на Търговския закон, </w:t>
      </w:r>
      <w:r w:rsidR="00CC4A50" w:rsidRPr="00716193">
        <w:rPr>
          <w:i/>
        </w:rPr>
        <w:t xml:space="preserve">тъй </w:t>
      </w:r>
      <w:r w:rsidRPr="00716193">
        <w:rPr>
          <w:i/>
        </w:rPr>
        <w:t>като не съдържа пълната информация за структурата на акционерния капитал, включваща паричните и непаричните вноски в него.</w:t>
      </w:r>
    </w:p>
    <w:p w:rsidR="004F4CBD" w:rsidRPr="00716193" w:rsidRDefault="004F4CBD" w:rsidP="004F4CBD">
      <w:pPr>
        <w:tabs>
          <w:tab w:val="left" w:pos="0"/>
        </w:tabs>
        <w:ind w:firstLine="709"/>
        <w:jc w:val="both"/>
      </w:pPr>
    </w:p>
    <w:p w:rsidR="004F4CBD" w:rsidRPr="00716193" w:rsidRDefault="004F4CBD" w:rsidP="004F4CBD">
      <w:pPr>
        <w:tabs>
          <w:tab w:val="left" w:pos="0"/>
        </w:tabs>
        <w:ind w:firstLine="426"/>
        <w:jc w:val="both"/>
        <w:rPr>
          <w:b/>
        </w:rPr>
      </w:pPr>
      <w:r w:rsidRPr="00716193">
        <w:rPr>
          <w:b/>
        </w:rPr>
        <w:tab/>
        <w:t>1.3. Решения на едноличния собственик на капитала за избиране и освобождаване на членовете на СД. Възлагане на управлението на дружеството</w:t>
      </w:r>
    </w:p>
    <w:p w:rsidR="004F4CBD" w:rsidRPr="00716193" w:rsidRDefault="004F4CBD" w:rsidP="004F4CBD">
      <w:pPr>
        <w:jc w:val="both"/>
        <w:rPr>
          <w:rFonts w:eastAsia="Calibri"/>
          <w:lang w:eastAsia="en-US"/>
        </w:rPr>
      </w:pPr>
      <w:r w:rsidRPr="00716193">
        <w:rPr>
          <w:b/>
        </w:rPr>
        <w:tab/>
      </w:r>
      <w:r w:rsidRPr="00716193">
        <w:t>С</w:t>
      </w:r>
      <w:r w:rsidRPr="00716193">
        <w:rPr>
          <w:b/>
        </w:rPr>
        <w:t xml:space="preserve"> </w:t>
      </w:r>
      <w:r w:rsidRPr="00716193">
        <w:rPr>
          <w:rFonts w:eastAsia="Calibri"/>
          <w:lang w:eastAsia="en-US"/>
        </w:rPr>
        <w:t>чл. 221, т. 4 от ТЗ, чл. 12, т. 4 от ПРУПДТДДУК и чл. 17, ал. 1, т. 5 от Устава на дружеството е определено правомощие на едноличния собственик на капитала на дружеството да избира и освобождава членовете на Съвета на директорите.</w:t>
      </w:r>
    </w:p>
    <w:p w:rsidR="004F4CBD" w:rsidRPr="00716193" w:rsidRDefault="004F4CBD" w:rsidP="004F4CBD">
      <w:pPr>
        <w:jc w:val="both"/>
      </w:pPr>
      <w:r w:rsidRPr="00716193">
        <w:rPr>
          <w:rFonts w:eastAsia="Calibri"/>
          <w:lang w:eastAsia="en-US"/>
        </w:rPr>
        <w:lastRenderedPageBreak/>
        <w:tab/>
        <w:t xml:space="preserve">В тази връзка, през одитирания период са извършени 9 </w:t>
      </w:r>
      <w:r w:rsidRPr="00716193">
        <w:rPr>
          <w:rFonts w:eastAsia="Calibri"/>
          <w:lang w:val="en-US" w:eastAsia="en-US"/>
        </w:rPr>
        <w:t>(</w:t>
      </w:r>
      <w:r w:rsidRPr="00716193">
        <w:rPr>
          <w:rFonts w:eastAsia="Calibri"/>
          <w:lang w:eastAsia="en-US"/>
        </w:rPr>
        <w:t>девет</w:t>
      </w:r>
      <w:r w:rsidRPr="00716193">
        <w:rPr>
          <w:rFonts w:eastAsia="Calibri"/>
          <w:lang w:val="en-US" w:eastAsia="en-US"/>
        </w:rPr>
        <w:t xml:space="preserve">) </w:t>
      </w:r>
      <w:r w:rsidRPr="00716193">
        <w:rPr>
          <w:rFonts w:eastAsia="Calibri"/>
          <w:lang w:eastAsia="en-US"/>
        </w:rPr>
        <w:t xml:space="preserve">промени в </w:t>
      </w:r>
      <w:r w:rsidR="009E03A2" w:rsidRPr="00716193">
        <w:rPr>
          <w:rFonts w:eastAsia="Calibri"/>
          <w:lang w:eastAsia="en-US"/>
        </w:rPr>
        <w:t>състава на СД</w:t>
      </w:r>
      <w:r w:rsidRPr="00716193">
        <w:rPr>
          <w:rFonts w:eastAsia="Calibri"/>
          <w:lang w:eastAsia="en-US"/>
        </w:rPr>
        <w:t>, като са избирани и освобождавани съответните членове, на основание взети решения от министъра на физическото възпитание и спорта/министъра на младежта и спорта, обективирани в протоколи, съгласно чл. 232а от ТЗ.</w:t>
      </w:r>
      <w:r w:rsidRPr="00716193">
        <w:rPr>
          <w:rStyle w:val="FootnoteReference"/>
          <w:rFonts w:eastAsia="Calibri"/>
          <w:lang w:eastAsia="en-US"/>
        </w:rPr>
        <w:footnoteReference w:id="38"/>
      </w:r>
      <w:r w:rsidRPr="00716193">
        <w:rPr>
          <w:rFonts w:eastAsia="Calibri"/>
          <w:lang w:eastAsia="en-US"/>
        </w:rPr>
        <w:t xml:space="preserve"> </w:t>
      </w:r>
      <w:r w:rsidRPr="00716193">
        <w:t xml:space="preserve">Прекратяването на договорите за управление с членовете на СД преди изтичането на срока е </w:t>
      </w:r>
      <w:r w:rsidR="0049525A" w:rsidRPr="00716193">
        <w:t xml:space="preserve">извършено </w:t>
      </w:r>
      <w:r w:rsidRPr="00716193">
        <w:t>на основание чл. 29, ал. 1</w:t>
      </w:r>
      <w:r w:rsidR="0049525A" w:rsidRPr="00716193">
        <w:t>, т. 1, т. 3 и т. 5</w:t>
      </w:r>
      <w:r w:rsidRPr="00716193">
        <w:t xml:space="preserve"> от </w:t>
      </w:r>
      <w:r w:rsidRPr="00716193">
        <w:rPr>
          <w:rStyle w:val="FontStyle66"/>
          <w:sz w:val="24"/>
          <w:szCs w:val="24"/>
        </w:rPr>
        <w:t>ПРУПДТДДУК</w:t>
      </w:r>
      <w:r w:rsidRPr="00716193">
        <w:t>.</w:t>
      </w:r>
      <w:r w:rsidRPr="00716193">
        <w:rPr>
          <w:rStyle w:val="FootnoteReference"/>
        </w:rPr>
        <w:footnoteReference w:id="39"/>
      </w:r>
      <w:r w:rsidRPr="00716193">
        <w:t xml:space="preserve"> </w:t>
      </w:r>
    </w:p>
    <w:p w:rsidR="004F4CBD" w:rsidRPr="00716193" w:rsidRDefault="004F4CBD" w:rsidP="004F4CBD">
      <w:pPr>
        <w:jc w:val="both"/>
        <w:rPr>
          <w:rFonts w:eastAsia="Calibri"/>
          <w:lang w:eastAsia="en-US"/>
        </w:rPr>
      </w:pPr>
      <w:r w:rsidRPr="00716193">
        <w:rPr>
          <w:b/>
        </w:rPr>
        <w:t xml:space="preserve">  </w:t>
      </w:r>
      <w:r w:rsidRPr="00716193">
        <w:rPr>
          <w:b/>
        </w:rPr>
        <w:tab/>
      </w:r>
      <w:r w:rsidRPr="00716193">
        <w:t xml:space="preserve">При всяка от извършените промени в състава на </w:t>
      </w:r>
      <w:r w:rsidR="009E03A2" w:rsidRPr="00716193">
        <w:rPr>
          <w:rFonts w:eastAsia="Calibri"/>
          <w:lang w:eastAsia="en-US"/>
        </w:rPr>
        <w:t>СД</w:t>
      </w:r>
      <w:r w:rsidRPr="00716193">
        <w:rPr>
          <w:rFonts w:eastAsia="Calibri"/>
          <w:lang w:eastAsia="en-US"/>
        </w:rPr>
        <w:t xml:space="preserve"> </w:t>
      </w:r>
      <w:r w:rsidRPr="00716193">
        <w:t>е спазено изискването на</w:t>
      </w:r>
      <w:r w:rsidR="00AF57D1" w:rsidRPr="00716193">
        <w:br/>
      </w:r>
      <w:r w:rsidRPr="00716193">
        <w:rPr>
          <w:rFonts w:eastAsia="Calibri"/>
          <w:lang w:eastAsia="en-US"/>
        </w:rPr>
        <w:t>чл. 19, ал. 3 от ПРУПДТДДУК</w:t>
      </w:r>
      <w:r w:rsidR="003B0DE5" w:rsidRPr="00716193">
        <w:rPr>
          <w:rFonts w:eastAsia="Calibri"/>
          <w:lang w:eastAsia="en-US"/>
        </w:rPr>
        <w:t xml:space="preserve"> </w:t>
      </w:r>
      <w:r w:rsidR="009E03A2" w:rsidRPr="00716193">
        <w:rPr>
          <w:rFonts w:eastAsia="Calibri"/>
          <w:lang w:eastAsia="en-US"/>
        </w:rPr>
        <w:t>броят на членовете</w:t>
      </w:r>
      <w:r w:rsidRPr="00716193">
        <w:rPr>
          <w:rFonts w:eastAsia="Calibri"/>
          <w:lang w:eastAsia="en-US"/>
        </w:rPr>
        <w:t xml:space="preserve"> </w:t>
      </w:r>
      <w:r w:rsidR="0049525A" w:rsidRPr="00716193">
        <w:rPr>
          <w:rFonts w:eastAsia="Calibri"/>
          <w:lang w:eastAsia="en-US"/>
        </w:rPr>
        <w:t xml:space="preserve">да </w:t>
      </w:r>
      <w:r w:rsidRPr="00716193">
        <w:rPr>
          <w:rFonts w:eastAsia="Calibri"/>
          <w:lang w:eastAsia="en-US"/>
        </w:rPr>
        <w:t>не надвишава петима души.</w:t>
      </w:r>
      <w:r w:rsidRPr="00716193">
        <w:rPr>
          <w:rStyle w:val="FootnoteReference"/>
          <w:rFonts w:eastAsia="Calibri"/>
          <w:lang w:eastAsia="en-US"/>
        </w:rPr>
        <w:footnoteReference w:id="40"/>
      </w:r>
    </w:p>
    <w:p w:rsidR="004F4CBD" w:rsidRPr="00716193" w:rsidRDefault="004F4CBD" w:rsidP="004F4CBD">
      <w:pPr>
        <w:jc w:val="both"/>
        <w:rPr>
          <w:rFonts w:eastAsia="Calibri"/>
          <w:lang w:eastAsia="en-US"/>
        </w:rPr>
      </w:pPr>
      <w:r w:rsidRPr="00716193">
        <w:rPr>
          <w:rFonts w:eastAsia="Calibri"/>
          <w:lang w:eastAsia="en-US"/>
        </w:rPr>
        <w:tab/>
        <w:t>В съответствие с чл. 24, ал. 1 от ПРУПДТДДУК и чл. 14 от Устава са с</w:t>
      </w:r>
      <w:r w:rsidRPr="00716193">
        <w:t xml:space="preserve">ключени договори за възлагане управлението на </w:t>
      </w:r>
      <w:r w:rsidR="008F0D28" w:rsidRPr="00716193">
        <w:t>„</w:t>
      </w:r>
      <w:r w:rsidRPr="00716193">
        <w:t>НСБ</w:t>
      </w:r>
      <w:r w:rsidR="008F0D28" w:rsidRPr="00716193">
        <w:t>“</w:t>
      </w:r>
      <w:r w:rsidRPr="00716193">
        <w:t xml:space="preserve"> ЕАД с всеки от избраните членове на СД на дружеството, във връзка с взетите решения от министъра.</w:t>
      </w:r>
      <w:r w:rsidRPr="00716193">
        <w:rPr>
          <w:lang w:val="en-US"/>
        </w:rPr>
        <w:t xml:space="preserve"> </w:t>
      </w:r>
      <w:r w:rsidRPr="00716193">
        <w:t xml:space="preserve">Договорите са сключени за срок до 3 години, в съответствие с изискването на чл. 26 от </w:t>
      </w:r>
      <w:r w:rsidRPr="00716193">
        <w:rPr>
          <w:rStyle w:val="FontStyle66"/>
          <w:sz w:val="24"/>
          <w:szCs w:val="24"/>
        </w:rPr>
        <w:t>ПРУПДТДДУК.</w:t>
      </w:r>
      <w:r w:rsidRPr="00716193">
        <w:rPr>
          <w:rStyle w:val="FootnoteReference"/>
        </w:rPr>
        <w:footnoteReference w:id="41"/>
      </w:r>
    </w:p>
    <w:p w:rsidR="004F4CBD" w:rsidRPr="00716193" w:rsidRDefault="004F4CBD" w:rsidP="004F4CBD">
      <w:pPr>
        <w:pStyle w:val="Style5"/>
        <w:widowControl/>
        <w:spacing w:line="20" w:lineRule="atLeast"/>
        <w:ind w:firstLine="720"/>
        <w:rPr>
          <w:rStyle w:val="FontStyle66"/>
          <w:sz w:val="24"/>
          <w:szCs w:val="24"/>
        </w:rPr>
      </w:pPr>
      <w:r w:rsidRPr="00716193">
        <w:t xml:space="preserve">В договорите за възлагане на управлението са регламентирани правата и задълженията на принципала и </w:t>
      </w:r>
      <w:r w:rsidR="009E03A2" w:rsidRPr="00716193">
        <w:t>на СД</w:t>
      </w:r>
      <w:r w:rsidRPr="00716193">
        <w:t>, начина на определяне на възнаграждението, договорени са условия за прекратяване на договора и други условия</w:t>
      </w:r>
      <w:r w:rsidR="0049525A" w:rsidRPr="00716193">
        <w:rPr>
          <w:rStyle w:val="BodyTextChar"/>
        </w:rPr>
        <w:t xml:space="preserve">, съгласно изискванията на </w:t>
      </w:r>
      <w:r w:rsidRPr="00716193">
        <w:rPr>
          <w:rStyle w:val="FontStyle66"/>
          <w:sz w:val="24"/>
          <w:szCs w:val="24"/>
        </w:rPr>
        <w:t>ТЗ, ПРУПДТДДУК и Устава на дружеството.</w:t>
      </w:r>
    </w:p>
    <w:p w:rsidR="004F4CBD" w:rsidRPr="00716193" w:rsidRDefault="004F4CBD" w:rsidP="004F4CBD">
      <w:pPr>
        <w:jc w:val="both"/>
      </w:pPr>
      <w:r w:rsidRPr="00716193">
        <w:tab/>
        <w:t xml:space="preserve"> </w:t>
      </w:r>
    </w:p>
    <w:p w:rsidR="004F4CBD" w:rsidRPr="00716193" w:rsidRDefault="004F4CBD" w:rsidP="004F4CBD">
      <w:pPr>
        <w:tabs>
          <w:tab w:val="left" w:pos="0"/>
        </w:tabs>
        <w:ind w:firstLine="709"/>
        <w:jc w:val="both"/>
        <w:rPr>
          <w:rFonts w:eastAsia="Calibri"/>
          <w:i/>
          <w:lang w:eastAsia="en-US"/>
        </w:rPr>
      </w:pPr>
      <w:r w:rsidRPr="00716193">
        <w:rPr>
          <w:i/>
        </w:rPr>
        <w:t xml:space="preserve">През одитирания период, избирането и освобождаването на членовете на Съвета на директорите на </w:t>
      </w:r>
      <w:r w:rsidR="008F0D28" w:rsidRPr="00716193">
        <w:rPr>
          <w:i/>
        </w:rPr>
        <w:t>„</w:t>
      </w:r>
      <w:r w:rsidRPr="00716193">
        <w:rPr>
          <w:i/>
        </w:rPr>
        <w:t>НСБ</w:t>
      </w:r>
      <w:r w:rsidR="008F0D28" w:rsidRPr="00716193">
        <w:rPr>
          <w:i/>
        </w:rPr>
        <w:t>“</w:t>
      </w:r>
      <w:r w:rsidRPr="00716193">
        <w:rPr>
          <w:i/>
        </w:rPr>
        <w:t xml:space="preserve"> ЕАД, е в съответствие с </w:t>
      </w:r>
      <w:r w:rsidR="0049525A" w:rsidRPr="00716193">
        <w:rPr>
          <w:i/>
        </w:rPr>
        <w:t>нормативните изисквания</w:t>
      </w:r>
      <w:r w:rsidRPr="00716193">
        <w:rPr>
          <w:rFonts w:eastAsia="Calibri"/>
          <w:i/>
          <w:lang w:eastAsia="en-US"/>
        </w:rPr>
        <w:t>.</w:t>
      </w:r>
    </w:p>
    <w:p w:rsidR="004F4CBD" w:rsidRPr="00716193" w:rsidRDefault="004F4CBD" w:rsidP="004F4CBD">
      <w:pPr>
        <w:tabs>
          <w:tab w:val="left" w:pos="0"/>
        </w:tabs>
        <w:ind w:firstLine="709"/>
        <w:jc w:val="both"/>
        <w:rPr>
          <w:i/>
        </w:rPr>
      </w:pPr>
      <w:r w:rsidRPr="00716193">
        <w:rPr>
          <w:rFonts w:eastAsia="Calibri"/>
          <w:i/>
          <w:lang w:eastAsia="en-US"/>
        </w:rPr>
        <w:t xml:space="preserve">Извършването на </w:t>
      </w:r>
      <w:r w:rsidRPr="00716193">
        <w:rPr>
          <w:i/>
        </w:rPr>
        <w:t>значителен брой промени в състава на СД през одитирания период крие риск за незаконосъобразност и неефективност при вземането и изпълнението на управленските решения във връзка с дейността на дружеството.</w:t>
      </w:r>
    </w:p>
    <w:p w:rsidR="004F4CBD" w:rsidRPr="00716193" w:rsidRDefault="004F4CBD" w:rsidP="004F4CBD">
      <w:pPr>
        <w:jc w:val="both"/>
      </w:pPr>
    </w:p>
    <w:p w:rsidR="004F4CBD" w:rsidRPr="00716193" w:rsidRDefault="004F4CBD" w:rsidP="004F4CBD">
      <w:pPr>
        <w:ind w:firstLine="284"/>
        <w:jc w:val="both"/>
        <w:rPr>
          <w:b/>
        </w:rPr>
      </w:pPr>
      <w:r w:rsidRPr="00716193">
        <w:rPr>
          <w:b/>
        </w:rPr>
        <w:tab/>
        <w:t>1.4. Решения на едноличния собственик на капитала за избор на регистриран одитор за извършване на независим финансов одит на ГФО за 2013 г. и 2014 г. на дружеството</w:t>
      </w:r>
    </w:p>
    <w:p w:rsidR="004F4CBD" w:rsidRPr="00716193" w:rsidRDefault="004F4CBD" w:rsidP="004F4CBD">
      <w:pPr>
        <w:jc w:val="both"/>
        <w:rPr>
          <w:rFonts w:eastAsia="Calibri"/>
          <w:lang w:eastAsia="en-US"/>
        </w:rPr>
      </w:pPr>
      <w:r w:rsidRPr="00716193">
        <w:rPr>
          <w:spacing w:val="-2"/>
        </w:rPr>
        <w:tab/>
      </w:r>
      <w:r w:rsidR="001419C2" w:rsidRPr="00716193">
        <w:t xml:space="preserve">На основание  </w:t>
      </w:r>
      <w:r w:rsidR="001419C2" w:rsidRPr="00716193">
        <w:rPr>
          <w:rFonts w:eastAsia="Calibri"/>
          <w:lang w:eastAsia="en-US"/>
        </w:rPr>
        <w:t>чл. 221, т. 6 от ТЗ, чл. 12, т. 5 от ПРУПДТДДУК и чл. 17, ал. 1, т. 6 от Устава на дружеството,</w:t>
      </w:r>
      <w:r w:rsidR="001419C2" w:rsidRPr="00716193">
        <w:rPr>
          <w:spacing w:val="-2"/>
        </w:rPr>
        <w:t xml:space="preserve"> м</w:t>
      </w:r>
      <w:r w:rsidRPr="00716193">
        <w:rPr>
          <w:spacing w:val="-2"/>
        </w:rPr>
        <w:t>инистърът на младежта и спорта е взел решени</w:t>
      </w:r>
      <w:r w:rsidR="001419C2" w:rsidRPr="00716193">
        <w:rPr>
          <w:spacing w:val="-2"/>
        </w:rPr>
        <w:t>я</w:t>
      </w:r>
      <w:r w:rsidRPr="00716193">
        <w:rPr>
          <w:spacing w:val="-2"/>
        </w:rPr>
        <w:t xml:space="preserve"> за избор на </w:t>
      </w:r>
      <w:r w:rsidRPr="00716193">
        <w:t xml:space="preserve">дипломиран експерт-счетоводител, </w:t>
      </w:r>
      <w:r w:rsidR="00180FDF" w:rsidRPr="00716193">
        <w:t xml:space="preserve">във връзка с извършване на независим финансов одит на </w:t>
      </w:r>
      <w:r w:rsidR="00180FDF" w:rsidRPr="00716193">
        <w:rPr>
          <w:rFonts w:eastAsia="Calibri"/>
          <w:lang w:eastAsia="en-US"/>
        </w:rPr>
        <w:t xml:space="preserve">Годишния финансов отчет </w:t>
      </w:r>
      <w:r w:rsidR="00180FDF" w:rsidRPr="00716193">
        <w:rPr>
          <w:rFonts w:eastAsia="Calibri"/>
          <w:lang w:val="en-US" w:eastAsia="en-US"/>
        </w:rPr>
        <w:t>(</w:t>
      </w:r>
      <w:r w:rsidR="00180FDF" w:rsidRPr="00716193">
        <w:rPr>
          <w:rFonts w:eastAsia="Calibri"/>
          <w:lang w:eastAsia="en-US"/>
        </w:rPr>
        <w:t>ГФО</w:t>
      </w:r>
      <w:r w:rsidR="00180FDF" w:rsidRPr="00716193">
        <w:rPr>
          <w:rFonts w:eastAsia="Calibri"/>
          <w:lang w:val="en-US" w:eastAsia="en-US"/>
        </w:rPr>
        <w:t>)</w:t>
      </w:r>
      <w:r w:rsidR="00180FDF" w:rsidRPr="00716193">
        <w:t xml:space="preserve"> на </w:t>
      </w:r>
      <w:r w:rsidR="008F0D28" w:rsidRPr="00716193">
        <w:t>„</w:t>
      </w:r>
      <w:r w:rsidR="00180FDF" w:rsidRPr="00716193">
        <w:t>НСБ</w:t>
      </w:r>
      <w:r w:rsidR="008F0D28" w:rsidRPr="00716193">
        <w:t>“</w:t>
      </w:r>
      <w:r w:rsidR="00180FDF" w:rsidRPr="00716193">
        <w:t xml:space="preserve"> ЕАД,</w:t>
      </w:r>
      <w:r w:rsidR="00180FDF" w:rsidRPr="00716193">
        <w:rPr>
          <w:rFonts w:eastAsia="Calibri"/>
          <w:lang w:val="en-US" w:eastAsia="en-US"/>
        </w:rPr>
        <w:t xml:space="preserve"> </w:t>
      </w:r>
      <w:r w:rsidRPr="00716193">
        <w:t>съответно за 2013 г. и 2014 г.</w:t>
      </w:r>
      <w:r w:rsidRPr="00716193">
        <w:rPr>
          <w:rFonts w:eastAsia="Calibri"/>
          <w:lang w:eastAsia="en-US"/>
        </w:rPr>
        <w:t xml:space="preserve"> Решенията са документално обосновани с протоколи, съгласно</w:t>
      </w:r>
      <w:r w:rsidR="003B0DE5" w:rsidRPr="00716193">
        <w:rPr>
          <w:rFonts w:eastAsia="Calibri"/>
          <w:lang w:eastAsia="en-US"/>
        </w:rPr>
        <w:t xml:space="preserve"> </w:t>
      </w:r>
      <w:r w:rsidRPr="00716193">
        <w:rPr>
          <w:rFonts w:eastAsia="Calibri"/>
          <w:lang w:eastAsia="en-US"/>
        </w:rPr>
        <w:t xml:space="preserve">чл. 232а от ТЗ. </w:t>
      </w:r>
    </w:p>
    <w:p w:rsidR="00962CEB" w:rsidRPr="00716193" w:rsidRDefault="004F4CBD" w:rsidP="003B0DE5">
      <w:pPr>
        <w:jc w:val="both"/>
      </w:pPr>
      <w:r w:rsidRPr="00716193">
        <w:rPr>
          <w:rFonts w:eastAsia="Calibri"/>
          <w:lang w:eastAsia="en-US"/>
        </w:rPr>
        <w:tab/>
        <w:t>За извършване на независим финансов одит на ГФО</w:t>
      </w:r>
      <w:r w:rsidRPr="00716193">
        <w:rPr>
          <w:rFonts w:eastAsia="Calibri"/>
          <w:lang w:val="en-US" w:eastAsia="en-US"/>
        </w:rPr>
        <w:t xml:space="preserve"> </w:t>
      </w:r>
      <w:r w:rsidRPr="00716193">
        <w:rPr>
          <w:rFonts w:eastAsia="Calibri"/>
          <w:lang w:eastAsia="en-US"/>
        </w:rPr>
        <w:t xml:space="preserve">на дружеството и за двете години на одитирания период </w:t>
      </w:r>
      <w:r w:rsidR="00817551" w:rsidRPr="00716193">
        <w:t>са с</w:t>
      </w:r>
      <w:r w:rsidRPr="00716193">
        <w:t>ключени договори с „Баланс – М“ ЕООД,</w:t>
      </w:r>
      <w:r w:rsidR="001419C2" w:rsidRPr="00716193">
        <w:rPr>
          <w:rStyle w:val="FootnoteReference"/>
        </w:rPr>
        <w:footnoteReference w:id="42"/>
      </w:r>
      <w:r w:rsidRPr="00716193">
        <w:t xml:space="preserve"> за извършване на независим финансов одит на ГФО на основание чл. 38 от З</w:t>
      </w:r>
      <w:r w:rsidR="00C32E1C" w:rsidRPr="00716193">
        <w:t>акона за счетоводството</w:t>
      </w:r>
      <w:r w:rsidR="003B0DE5" w:rsidRPr="00716193">
        <w:t xml:space="preserve"> </w:t>
      </w:r>
      <w:r w:rsidR="004E4A7C" w:rsidRPr="00716193">
        <w:rPr>
          <w:lang w:val="en-US"/>
        </w:rPr>
        <w:t>(</w:t>
      </w:r>
      <w:r w:rsidR="004E4A7C" w:rsidRPr="00716193">
        <w:t>ЗСч</w:t>
      </w:r>
      <w:r w:rsidR="004E4A7C" w:rsidRPr="00716193">
        <w:rPr>
          <w:lang w:val="en-US"/>
        </w:rPr>
        <w:t>)</w:t>
      </w:r>
      <w:r w:rsidRPr="00716193">
        <w:t xml:space="preserve">, </w:t>
      </w:r>
      <w:r w:rsidR="00904C41" w:rsidRPr="00716193">
        <w:t>ч</w:t>
      </w:r>
      <w:r w:rsidRPr="00716193">
        <w:t>л. 9 от З</w:t>
      </w:r>
      <w:r w:rsidR="00C32E1C" w:rsidRPr="00716193">
        <w:t xml:space="preserve">акона за независимия финансов одит </w:t>
      </w:r>
      <w:r w:rsidR="009E4513" w:rsidRPr="00716193">
        <w:rPr>
          <w:lang w:val="en-US"/>
        </w:rPr>
        <w:t>(</w:t>
      </w:r>
      <w:r w:rsidR="009E4513" w:rsidRPr="00716193">
        <w:t>ЗНФО</w:t>
      </w:r>
      <w:r w:rsidR="009E4513" w:rsidRPr="00716193">
        <w:rPr>
          <w:lang w:val="en-US"/>
        </w:rPr>
        <w:t xml:space="preserve">) </w:t>
      </w:r>
      <w:r w:rsidRPr="00716193">
        <w:t>и на свързаните с тях разпоредби на З</w:t>
      </w:r>
      <w:r w:rsidR="00C32E1C" w:rsidRPr="00716193">
        <w:t>акона за задълженията и договорите</w:t>
      </w:r>
      <w:r w:rsidRPr="00716193">
        <w:t xml:space="preserve"> и Т</w:t>
      </w:r>
      <w:r w:rsidR="009E03A2" w:rsidRPr="00716193">
        <w:t>З</w:t>
      </w:r>
      <w:r w:rsidRPr="00716193">
        <w:t>.</w:t>
      </w:r>
      <w:r w:rsidRPr="00716193">
        <w:rPr>
          <w:rStyle w:val="FootnoteReference"/>
        </w:rPr>
        <w:footnoteReference w:id="43"/>
      </w:r>
    </w:p>
    <w:p w:rsidR="004F4CBD" w:rsidRPr="00716193" w:rsidRDefault="004F4CBD" w:rsidP="004F4CBD">
      <w:pPr>
        <w:jc w:val="both"/>
        <w:rPr>
          <w:i/>
        </w:rPr>
      </w:pPr>
      <w:r w:rsidRPr="00716193">
        <w:rPr>
          <w:i/>
        </w:rPr>
        <w:tab/>
      </w:r>
    </w:p>
    <w:p w:rsidR="004F4CBD" w:rsidRPr="00716193" w:rsidRDefault="004F4CBD" w:rsidP="004F4CBD">
      <w:pPr>
        <w:jc w:val="both"/>
        <w:rPr>
          <w:rFonts w:eastAsia="Calibri"/>
          <w:i/>
          <w:lang w:eastAsia="en-US"/>
        </w:rPr>
      </w:pPr>
      <w:r w:rsidRPr="00716193">
        <w:rPr>
          <w:i/>
        </w:rPr>
        <w:tab/>
        <w:t xml:space="preserve">Избирането на регистриран одитор за извършване на независим финансов одит на ГФО за 2013 г. и 2014 г. на дружеството е извършено в съответствие с </w:t>
      </w:r>
      <w:r w:rsidR="0077582B" w:rsidRPr="00716193">
        <w:rPr>
          <w:i/>
        </w:rPr>
        <w:t>приложимия нормативен ред</w:t>
      </w:r>
      <w:r w:rsidRPr="00716193">
        <w:rPr>
          <w:rFonts w:eastAsia="Calibri"/>
          <w:i/>
          <w:lang w:eastAsia="en-US"/>
        </w:rPr>
        <w:t>.</w:t>
      </w:r>
    </w:p>
    <w:p w:rsidR="0082005E" w:rsidRPr="00716193" w:rsidRDefault="0082005E" w:rsidP="004F4CBD">
      <w:pPr>
        <w:jc w:val="both"/>
        <w:rPr>
          <w:rFonts w:eastAsia="Calibri"/>
          <w:i/>
          <w:lang w:eastAsia="en-US"/>
        </w:rPr>
      </w:pPr>
    </w:p>
    <w:p w:rsidR="004F4CBD" w:rsidRPr="00716193" w:rsidRDefault="004F4CBD" w:rsidP="004F4CBD">
      <w:pPr>
        <w:jc w:val="both"/>
        <w:rPr>
          <w:b/>
        </w:rPr>
      </w:pPr>
      <w:r w:rsidRPr="00716193">
        <w:rPr>
          <w:rFonts w:eastAsia="Calibri"/>
          <w:i/>
          <w:lang w:eastAsia="en-US"/>
        </w:rPr>
        <w:lastRenderedPageBreak/>
        <w:tab/>
      </w:r>
      <w:r w:rsidRPr="00716193">
        <w:rPr>
          <w:rFonts w:eastAsia="Calibri"/>
          <w:b/>
          <w:lang w:eastAsia="en-US"/>
        </w:rPr>
        <w:t>1.5.</w:t>
      </w:r>
      <w:r w:rsidRPr="00716193">
        <w:rPr>
          <w:b/>
        </w:rPr>
        <w:t xml:space="preserve"> Решения на едноличния собственик на капитала за одобряване на годишния счетоводен отчет след заверка от назначения регистриран одитор, за разпределяне и изплащане на печалба и за изплащане на тантиеми, за освобождаване от отговорност членовете на Съвета на директорите</w:t>
      </w:r>
    </w:p>
    <w:p w:rsidR="004F4CBD" w:rsidRPr="00716193" w:rsidRDefault="004F4CBD" w:rsidP="004F4CBD">
      <w:pPr>
        <w:jc w:val="both"/>
        <w:rPr>
          <w:rFonts w:eastAsia="Calibri"/>
          <w:lang w:eastAsia="en-US"/>
        </w:rPr>
      </w:pPr>
      <w:r w:rsidRPr="00716193">
        <w:tab/>
        <w:t>Едноличният собственик на капитала</w:t>
      </w:r>
      <w:r w:rsidRPr="00716193">
        <w:rPr>
          <w:lang w:val="en-US"/>
        </w:rPr>
        <w:t xml:space="preserve"> </w:t>
      </w:r>
      <w:r w:rsidRPr="00716193">
        <w:t xml:space="preserve">на </w:t>
      </w:r>
      <w:r w:rsidR="008F0D28" w:rsidRPr="00716193">
        <w:t>„</w:t>
      </w:r>
      <w:r w:rsidRPr="00716193">
        <w:t>НСБ</w:t>
      </w:r>
      <w:r w:rsidR="008F0D28" w:rsidRPr="00716193">
        <w:t>“</w:t>
      </w:r>
      <w:r w:rsidRPr="00716193">
        <w:t xml:space="preserve"> ЕАД </w:t>
      </w:r>
      <w:r w:rsidR="00F37387" w:rsidRPr="00716193">
        <w:t xml:space="preserve">е </w:t>
      </w:r>
      <w:r w:rsidRPr="00716193">
        <w:t>взе</w:t>
      </w:r>
      <w:r w:rsidR="00F37387" w:rsidRPr="00716193">
        <w:t>л</w:t>
      </w:r>
      <w:r w:rsidRPr="00716193">
        <w:t xml:space="preserve"> решени</w:t>
      </w:r>
      <w:r w:rsidR="00F37387" w:rsidRPr="00716193">
        <w:t>я</w:t>
      </w:r>
      <w:r w:rsidRPr="00716193">
        <w:t xml:space="preserve"> за одобряване на</w:t>
      </w:r>
      <w:r w:rsidRPr="00716193">
        <w:rPr>
          <w:lang w:val="en-US"/>
        </w:rPr>
        <w:t xml:space="preserve"> </w:t>
      </w:r>
      <w:r w:rsidR="00EF7A2D" w:rsidRPr="00716193">
        <w:t xml:space="preserve">ГФО </w:t>
      </w:r>
      <w:r w:rsidR="00F37387" w:rsidRPr="00716193">
        <w:t xml:space="preserve">съответно </w:t>
      </w:r>
      <w:r w:rsidRPr="00716193">
        <w:t>за 2013 г.</w:t>
      </w:r>
      <w:r w:rsidR="000F06B3" w:rsidRPr="00716193">
        <w:t xml:space="preserve"> </w:t>
      </w:r>
      <w:r w:rsidR="00F37387" w:rsidRPr="00716193">
        <w:t xml:space="preserve">и </w:t>
      </w:r>
      <w:r w:rsidRPr="00716193">
        <w:t>за 2014 г., след извършена заверка от назначения регистриран одитор, в съответствие с изискван</w:t>
      </w:r>
      <w:r w:rsidR="00BE20A0" w:rsidRPr="00716193">
        <w:t>ия</w:t>
      </w:r>
      <w:r w:rsidRPr="00716193">
        <w:t>т</w:t>
      </w:r>
      <w:r w:rsidR="00BE20A0" w:rsidRPr="00716193">
        <w:t>а</w:t>
      </w:r>
      <w:r w:rsidRPr="00716193">
        <w:t xml:space="preserve"> на </w:t>
      </w:r>
      <w:r w:rsidRPr="00716193">
        <w:rPr>
          <w:rFonts w:eastAsia="Calibri"/>
          <w:lang w:eastAsia="en-US"/>
        </w:rPr>
        <w:t>чл. 221, т. 7 от ТЗ, чл. 12, т. 6 от ПРУПДТДДУК и чл. 17, ал. 1, т. 7 от Устава на дружеството. Решенията са обективирани в протоколи, съгласно чл. 232а от ТЗ.</w:t>
      </w:r>
      <w:r w:rsidRPr="00716193">
        <w:rPr>
          <w:rStyle w:val="FootnoteReference"/>
          <w:rFonts w:eastAsia="Calibri"/>
          <w:lang w:eastAsia="en-US"/>
        </w:rPr>
        <w:footnoteReference w:id="44"/>
      </w:r>
    </w:p>
    <w:p w:rsidR="004F4CBD" w:rsidRPr="00716193" w:rsidRDefault="004F4CBD" w:rsidP="004F4CBD">
      <w:pPr>
        <w:pStyle w:val="FootnoteText"/>
        <w:jc w:val="both"/>
        <w:rPr>
          <w:sz w:val="24"/>
          <w:szCs w:val="24"/>
        </w:rPr>
      </w:pPr>
      <w:r w:rsidRPr="00716193">
        <w:rPr>
          <w:sz w:val="24"/>
          <w:szCs w:val="24"/>
          <w:lang w:val="en-US"/>
        </w:rPr>
        <w:tab/>
      </w:r>
      <w:r w:rsidRPr="00716193">
        <w:rPr>
          <w:sz w:val="24"/>
          <w:szCs w:val="24"/>
        </w:rPr>
        <w:t xml:space="preserve">През 2013 г. и 2014 г. </w:t>
      </w:r>
      <w:r w:rsidR="008F0D28" w:rsidRPr="00716193">
        <w:rPr>
          <w:sz w:val="24"/>
          <w:szCs w:val="24"/>
        </w:rPr>
        <w:t>„</w:t>
      </w:r>
      <w:r w:rsidRPr="00716193">
        <w:rPr>
          <w:sz w:val="24"/>
          <w:szCs w:val="24"/>
        </w:rPr>
        <w:t>НСБ</w:t>
      </w:r>
      <w:r w:rsidR="008F0D28" w:rsidRPr="00716193">
        <w:rPr>
          <w:sz w:val="24"/>
          <w:szCs w:val="24"/>
        </w:rPr>
        <w:t>“</w:t>
      </w:r>
      <w:r w:rsidRPr="00716193">
        <w:rPr>
          <w:sz w:val="24"/>
          <w:szCs w:val="24"/>
        </w:rPr>
        <w:t xml:space="preserve"> ЕАД отчита отрицателен финансов резултат, което не позволява изплащането на дивиденти, съгласно чл. 247а от ТЗ и чл. 26, ал. 1 от Устава на дружеството.</w:t>
      </w:r>
      <w:r w:rsidRPr="00716193">
        <w:rPr>
          <w:rStyle w:val="FootnoteReference"/>
          <w:sz w:val="24"/>
          <w:szCs w:val="24"/>
        </w:rPr>
        <w:footnoteReference w:id="45"/>
      </w:r>
      <w:r w:rsidRPr="00716193">
        <w:rPr>
          <w:sz w:val="24"/>
          <w:szCs w:val="24"/>
        </w:rPr>
        <w:t xml:space="preserve"> </w:t>
      </w:r>
    </w:p>
    <w:p w:rsidR="004F4CBD" w:rsidRPr="00716193" w:rsidRDefault="004F4CBD" w:rsidP="004F4CBD">
      <w:pPr>
        <w:pStyle w:val="FootnoteText"/>
        <w:jc w:val="both"/>
        <w:rPr>
          <w:sz w:val="24"/>
          <w:szCs w:val="24"/>
        </w:rPr>
      </w:pPr>
      <w:r w:rsidRPr="00716193">
        <w:rPr>
          <w:sz w:val="24"/>
          <w:szCs w:val="24"/>
        </w:rPr>
        <w:tab/>
        <w:t>Счетоводната загуба през двете години на одитирания период и наличието на непокрита загуба от предходни години и просрочени задължения предпоставят неизплащането и на тантиеми, съгласно чл. 33, ал. 9 от ПРУПДТДДУК. Спазено е изискването на цитираната норма, като през одитирания период не е взето решение и не са изплащани тантиеми.</w:t>
      </w:r>
      <w:r w:rsidRPr="00716193">
        <w:rPr>
          <w:rStyle w:val="FootnoteReference"/>
          <w:sz w:val="24"/>
          <w:szCs w:val="24"/>
        </w:rPr>
        <w:footnoteReference w:id="46"/>
      </w:r>
      <w:r w:rsidRPr="00716193">
        <w:rPr>
          <w:sz w:val="24"/>
          <w:szCs w:val="24"/>
        </w:rPr>
        <w:t xml:space="preserve"> </w:t>
      </w:r>
    </w:p>
    <w:p w:rsidR="004F4CBD" w:rsidRPr="00716193" w:rsidRDefault="004F4CBD" w:rsidP="004F4CBD">
      <w:pPr>
        <w:jc w:val="both"/>
        <w:rPr>
          <w:rFonts w:eastAsia="Calibri"/>
          <w:lang w:eastAsia="en-US"/>
        </w:rPr>
      </w:pPr>
      <w:r w:rsidRPr="00716193">
        <w:rPr>
          <w:rFonts w:eastAsia="Calibri"/>
          <w:lang w:eastAsia="en-US"/>
        </w:rPr>
        <w:t xml:space="preserve"> </w:t>
      </w:r>
      <w:r w:rsidRPr="00716193">
        <w:rPr>
          <w:rFonts w:eastAsia="Calibri"/>
          <w:lang w:eastAsia="en-US"/>
        </w:rPr>
        <w:tab/>
        <w:t>В</w:t>
      </w:r>
      <w:r w:rsidRPr="00716193">
        <w:t xml:space="preserve"> съответствие с  </w:t>
      </w:r>
      <w:r w:rsidRPr="00716193">
        <w:rPr>
          <w:rFonts w:eastAsia="Calibri"/>
          <w:lang w:eastAsia="en-US"/>
        </w:rPr>
        <w:t xml:space="preserve">чл. 221, т. 10 от ТЗ, чл. 12, т. 9 от ПРУПДТДДУК и чл. 17, ал. 1, </w:t>
      </w:r>
      <w:r w:rsidR="004C22DA" w:rsidRPr="00716193">
        <w:rPr>
          <w:rFonts w:eastAsia="Calibri"/>
          <w:lang w:eastAsia="en-US"/>
        </w:rPr>
        <w:br/>
      </w:r>
      <w:r w:rsidR="00AF57D1" w:rsidRPr="00716193">
        <w:rPr>
          <w:rFonts w:eastAsia="Calibri"/>
          <w:lang w:eastAsia="en-US"/>
        </w:rPr>
        <w:t>т. 10 от Устава</w:t>
      </w:r>
      <w:r w:rsidRPr="00716193">
        <w:rPr>
          <w:rFonts w:eastAsia="Calibri"/>
          <w:lang w:eastAsia="en-US"/>
        </w:rPr>
        <w:t xml:space="preserve">, министърът на младежта и спорта </w:t>
      </w:r>
      <w:r w:rsidR="00BE20A0" w:rsidRPr="00716193">
        <w:rPr>
          <w:rFonts w:eastAsia="Calibri"/>
          <w:lang w:eastAsia="en-US"/>
        </w:rPr>
        <w:t xml:space="preserve">е </w:t>
      </w:r>
      <w:r w:rsidRPr="00716193">
        <w:rPr>
          <w:rFonts w:eastAsia="Calibri"/>
          <w:lang w:eastAsia="en-US"/>
        </w:rPr>
        <w:t>освобо</w:t>
      </w:r>
      <w:r w:rsidR="00BE20A0" w:rsidRPr="00716193">
        <w:rPr>
          <w:rFonts w:eastAsia="Calibri"/>
          <w:lang w:eastAsia="en-US"/>
        </w:rPr>
        <w:t>дил</w:t>
      </w:r>
      <w:r w:rsidRPr="00716193">
        <w:rPr>
          <w:rFonts w:eastAsia="Calibri"/>
          <w:lang w:eastAsia="en-US"/>
        </w:rPr>
        <w:t xml:space="preserve"> от отговорност чл</w:t>
      </w:r>
      <w:r w:rsidR="00AF57D1" w:rsidRPr="00716193">
        <w:rPr>
          <w:rFonts w:eastAsia="Calibri"/>
          <w:lang w:eastAsia="en-US"/>
        </w:rPr>
        <w:t>еновете на СД</w:t>
      </w:r>
      <w:r w:rsidRPr="00716193">
        <w:rPr>
          <w:rFonts w:eastAsia="Calibri"/>
          <w:lang w:eastAsia="en-US"/>
        </w:rPr>
        <w:t xml:space="preserve"> през 2013 г. Решението е документално обосновано с протокол, съгласно чл. 232а от ТЗ. Към момента на приключване на одита, </w:t>
      </w:r>
      <w:r w:rsidR="000410D7" w:rsidRPr="00716193">
        <w:rPr>
          <w:rFonts w:eastAsia="Calibri"/>
          <w:lang w:eastAsia="en-US"/>
        </w:rPr>
        <w:t xml:space="preserve">няма данни да е </w:t>
      </w:r>
      <w:r w:rsidRPr="00716193">
        <w:rPr>
          <w:rFonts w:eastAsia="Calibri"/>
          <w:lang w:eastAsia="en-US"/>
        </w:rPr>
        <w:t>взето решение от министъра за освобождаване от отговорност чл</w:t>
      </w:r>
      <w:r w:rsidR="00AF57D1" w:rsidRPr="00716193">
        <w:rPr>
          <w:rFonts w:eastAsia="Calibri"/>
          <w:lang w:eastAsia="en-US"/>
        </w:rPr>
        <w:t>еновете на СД</w:t>
      </w:r>
      <w:r w:rsidRPr="00716193">
        <w:rPr>
          <w:rFonts w:eastAsia="Calibri"/>
          <w:lang w:eastAsia="en-US"/>
        </w:rPr>
        <w:t xml:space="preserve"> през 2014 г.</w:t>
      </w:r>
      <w:r w:rsidRPr="00716193">
        <w:rPr>
          <w:rStyle w:val="FootnoteReference"/>
          <w:rFonts w:eastAsia="Calibri"/>
          <w:lang w:eastAsia="en-US"/>
        </w:rPr>
        <w:footnoteReference w:id="47"/>
      </w:r>
    </w:p>
    <w:p w:rsidR="001A17CC" w:rsidRPr="00716193" w:rsidRDefault="004F4CBD" w:rsidP="001A17CC">
      <w:pPr>
        <w:jc w:val="both"/>
        <w:rPr>
          <w:b/>
        </w:rPr>
      </w:pPr>
      <w:r w:rsidRPr="00716193">
        <w:rPr>
          <w:b/>
        </w:rPr>
        <w:tab/>
      </w:r>
    </w:p>
    <w:p w:rsidR="00A5712B" w:rsidRPr="00716193" w:rsidRDefault="001A17CC" w:rsidP="002A3B10">
      <w:pPr>
        <w:jc w:val="both"/>
        <w:rPr>
          <w:i/>
        </w:rPr>
      </w:pPr>
      <w:r w:rsidRPr="00716193">
        <w:rPr>
          <w:b/>
        </w:rPr>
        <w:tab/>
      </w:r>
      <w:r w:rsidR="00A848DA" w:rsidRPr="00716193">
        <w:rPr>
          <w:i/>
        </w:rPr>
        <w:t>Р</w:t>
      </w:r>
      <w:r w:rsidR="004F4CBD" w:rsidRPr="00716193">
        <w:rPr>
          <w:i/>
        </w:rPr>
        <w:t>ешения</w:t>
      </w:r>
      <w:r w:rsidR="00A848DA" w:rsidRPr="00716193">
        <w:rPr>
          <w:i/>
        </w:rPr>
        <w:t>та</w:t>
      </w:r>
      <w:r w:rsidR="004F4CBD" w:rsidRPr="00716193">
        <w:rPr>
          <w:i/>
        </w:rPr>
        <w:t xml:space="preserve"> </w:t>
      </w:r>
      <w:r w:rsidR="00A848DA" w:rsidRPr="00716193">
        <w:rPr>
          <w:i/>
        </w:rPr>
        <w:t>на</w:t>
      </w:r>
      <w:r w:rsidR="004F4CBD" w:rsidRPr="00716193">
        <w:rPr>
          <w:i/>
        </w:rPr>
        <w:t xml:space="preserve"> едноличния собственик на капитала за одобряване на годишния счетоводен отчет</w:t>
      </w:r>
      <w:r w:rsidR="00A848DA" w:rsidRPr="00716193">
        <w:rPr>
          <w:i/>
        </w:rPr>
        <w:t>,</w:t>
      </w:r>
      <w:r w:rsidR="004F4CBD" w:rsidRPr="00716193">
        <w:rPr>
          <w:i/>
        </w:rPr>
        <w:t xml:space="preserve"> след заверка от назначения регистриран одитор</w:t>
      </w:r>
      <w:r w:rsidR="00A5712B" w:rsidRPr="00716193">
        <w:rPr>
          <w:i/>
        </w:rPr>
        <w:t xml:space="preserve">, както и за освобождаване от отговорност членовете на Съвета на директорите за 2013 г., са в съответствие с нормативните изисквания. </w:t>
      </w:r>
    </w:p>
    <w:p w:rsidR="00962CEB" w:rsidRPr="00716193" w:rsidRDefault="00A5712B" w:rsidP="000410D7">
      <w:pPr>
        <w:ind w:firstLine="709"/>
        <w:jc w:val="both"/>
        <w:rPr>
          <w:rFonts w:eastAsia="Calibri"/>
          <w:i/>
          <w:lang w:eastAsia="en-US"/>
        </w:rPr>
      </w:pPr>
      <w:r w:rsidRPr="00716193">
        <w:rPr>
          <w:i/>
        </w:rPr>
        <w:t>За одитирания период не са били налице предпоставките</w:t>
      </w:r>
      <w:r w:rsidR="008B4A77" w:rsidRPr="00716193">
        <w:rPr>
          <w:i/>
        </w:rPr>
        <w:t>,</w:t>
      </w:r>
      <w:r w:rsidR="000410D7" w:rsidRPr="00716193">
        <w:rPr>
          <w:i/>
        </w:rPr>
        <w:t xml:space="preserve"> </w:t>
      </w:r>
      <w:r w:rsidRPr="00716193">
        <w:rPr>
          <w:i/>
        </w:rPr>
        <w:t>предвидени</w:t>
      </w:r>
      <w:r w:rsidR="004F4CBD" w:rsidRPr="00716193">
        <w:rPr>
          <w:i/>
        </w:rPr>
        <w:t xml:space="preserve"> за разпределяне и изплащане на печалба и на тантиеми, </w:t>
      </w:r>
      <w:r w:rsidRPr="00716193">
        <w:rPr>
          <w:i/>
        </w:rPr>
        <w:t>поради което от едноличния собственик на капитала на дружеството не са вземани решения в тази посока, с което е спазен приложимия</w:t>
      </w:r>
      <w:r w:rsidR="00AF57D1" w:rsidRPr="00716193">
        <w:rPr>
          <w:i/>
        </w:rPr>
        <w:t>т</w:t>
      </w:r>
      <w:r w:rsidRPr="00716193">
        <w:rPr>
          <w:i/>
        </w:rPr>
        <w:t xml:space="preserve"> ред.</w:t>
      </w:r>
      <w:r w:rsidR="004F4CBD" w:rsidRPr="00716193">
        <w:rPr>
          <w:i/>
        </w:rPr>
        <w:tab/>
      </w:r>
    </w:p>
    <w:p w:rsidR="004F4CBD" w:rsidRPr="00716193" w:rsidRDefault="004F4CBD" w:rsidP="004F4CBD">
      <w:pPr>
        <w:jc w:val="both"/>
        <w:rPr>
          <w:i/>
        </w:rPr>
      </w:pPr>
    </w:p>
    <w:p w:rsidR="004F4CBD" w:rsidRPr="00716193" w:rsidRDefault="004F4CBD" w:rsidP="004F4CBD">
      <w:pPr>
        <w:ind w:firstLine="709"/>
        <w:jc w:val="both"/>
        <w:outlineLvl w:val="0"/>
        <w:rPr>
          <w:b/>
        </w:rPr>
      </w:pPr>
      <w:r w:rsidRPr="00716193">
        <w:rPr>
          <w:b/>
        </w:rPr>
        <w:t>1.6. Разработване и представяне от Съвета на директорите на принципала за одобряване бизнес програма за целия срок на действие на договора за управление и поотделно за всяка една от годините</w:t>
      </w:r>
    </w:p>
    <w:p w:rsidR="004F4CBD" w:rsidRPr="00716193" w:rsidRDefault="004F4CBD" w:rsidP="004F4CBD">
      <w:pPr>
        <w:pStyle w:val="FootnoteText"/>
        <w:jc w:val="both"/>
        <w:rPr>
          <w:sz w:val="24"/>
          <w:szCs w:val="24"/>
        </w:rPr>
      </w:pPr>
      <w:r w:rsidRPr="00716193">
        <w:rPr>
          <w:sz w:val="24"/>
          <w:szCs w:val="24"/>
        </w:rPr>
        <w:tab/>
        <w:t xml:space="preserve">Дружеството няма утвърдена Стратегия за развитие на </w:t>
      </w:r>
      <w:r w:rsidR="008F0D28" w:rsidRPr="00716193">
        <w:rPr>
          <w:sz w:val="24"/>
          <w:szCs w:val="24"/>
        </w:rPr>
        <w:t>„</w:t>
      </w:r>
      <w:r w:rsidRPr="00716193">
        <w:rPr>
          <w:sz w:val="24"/>
          <w:szCs w:val="24"/>
        </w:rPr>
        <w:t>НСБ</w:t>
      </w:r>
      <w:r w:rsidR="008F0D28" w:rsidRPr="00716193">
        <w:rPr>
          <w:sz w:val="24"/>
          <w:szCs w:val="24"/>
        </w:rPr>
        <w:t>“</w:t>
      </w:r>
      <w:r w:rsidRPr="00716193">
        <w:rPr>
          <w:sz w:val="24"/>
          <w:szCs w:val="24"/>
        </w:rPr>
        <w:t xml:space="preserve"> ЕАД, действаща през одитирания период.</w:t>
      </w:r>
      <w:r w:rsidRPr="00716193">
        <w:rPr>
          <w:rStyle w:val="FootnoteReference"/>
          <w:sz w:val="24"/>
          <w:szCs w:val="24"/>
        </w:rPr>
        <w:footnoteReference w:id="48"/>
      </w:r>
      <w:r w:rsidRPr="00716193">
        <w:rPr>
          <w:sz w:val="24"/>
          <w:szCs w:val="24"/>
        </w:rPr>
        <w:t xml:space="preserve"> </w:t>
      </w:r>
    </w:p>
    <w:p w:rsidR="004F4CBD" w:rsidRPr="00716193" w:rsidRDefault="0066177D" w:rsidP="004F4CBD">
      <w:pPr>
        <w:pStyle w:val="FootnoteText"/>
        <w:jc w:val="both"/>
        <w:rPr>
          <w:sz w:val="24"/>
          <w:szCs w:val="24"/>
        </w:rPr>
      </w:pPr>
      <w:r w:rsidRPr="00716193">
        <w:rPr>
          <w:sz w:val="24"/>
          <w:szCs w:val="24"/>
        </w:rPr>
        <w:tab/>
        <w:t>В края на одитирания период</w:t>
      </w:r>
      <w:r w:rsidR="004F4CBD" w:rsidRPr="00716193">
        <w:rPr>
          <w:sz w:val="24"/>
          <w:szCs w:val="24"/>
        </w:rPr>
        <w:t xml:space="preserve"> </w:t>
      </w:r>
      <w:r w:rsidRPr="00716193">
        <w:rPr>
          <w:sz w:val="24"/>
          <w:szCs w:val="24"/>
        </w:rPr>
        <w:t xml:space="preserve">е разработен документ, </w:t>
      </w:r>
      <w:r w:rsidR="00AB572F" w:rsidRPr="00716193">
        <w:rPr>
          <w:sz w:val="24"/>
          <w:szCs w:val="24"/>
        </w:rPr>
        <w:t xml:space="preserve">с характер на </w:t>
      </w:r>
      <w:r w:rsidR="004F4CBD" w:rsidRPr="00716193">
        <w:rPr>
          <w:sz w:val="24"/>
          <w:szCs w:val="24"/>
        </w:rPr>
        <w:t>стратегия за развитие на  дружеството – „Стратегии и препоръки, насоки и предложения за устойчиво управление на собствеността и икономическото развитие на дружество „Национална спортн</w:t>
      </w:r>
      <w:r w:rsidR="006A112C" w:rsidRPr="00716193">
        <w:rPr>
          <w:sz w:val="24"/>
          <w:szCs w:val="24"/>
        </w:rPr>
        <w:t>а база“ ЕАД,  гр. София“, но не</w:t>
      </w:r>
      <w:r w:rsidRPr="00716193">
        <w:rPr>
          <w:sz w:val="24"/>
          <w:szCs w:val="24"/>
        </w:rPr>
        <w:t xml:space="preserve"> е </w:t>
      </w:r>
      <w:r w:rsidR="004F4CBD" w:rsidRPr="00716193">
        <w:rPr>
          <w:sz w:val="24"/>
          <w:szCs w:val="24"/>
        </w:rPr>
        <w:t xml:space="preserve">утвърден с </w:t>
      </w:r>
      <w:r w:rsidRPr="00716193">
        <w:rPr>
          <w:sz w:val="24"/>
          <w:szCs w:val="24"/>
        </w:rPr>
        <w:t>решение на СД</w:t>
      </w:r>
      <w:r w:rsidR="004F4CBD" w:rsidRPr="00716193">
        <w:rPr>
          <w:sz w:val="24"/>
          <w:szCs w:val="24"/>
        </w:rPr>
        <w:t>.</w:t>
      </w:r>
      <w:r w:rsidR="004F4CBD" w:rsidRPr="00716193">
        <w:rPr>
          <w:rStyle w:val="FootnoteReference"/>
          <w:sz w:val="24"/>
          <w:szCs w:val="24"/>
        </w:rPr>
        <w:footnoteReference w:id="49"/>
      </w:r>
    </w:p>
    <w:p w:rsidR="004F4CBD" w:rsidRPr="00716193" w:rsidRDefault="004F4CBD" w:rsidP="004F4CBD">
      <w:pPr>
        <w:pStyle w:val="FootnoteText"/>
        <w:jc w:val="both"/>
        <w:rPr>
          <w:rFonts w:eastAsia="Calibri"/>
          <w:sz w:val="24"/>
          <w:szCs w:val="24"/>
          <w:lang w:eastAsia="en-US"/>
        </w:rPr>
      </w:pPr>
      <w:r w:rsidRPr="00716193">
        <w:rPr>
          <w:sz w:val="24"/>
          <w:szCs w:val="24"/>
        </w:rPr>
        <w:lastRenderedPageBreak/>
        <w:tab/>
        <w:t xml:space="preserve">Съгласно изискване на чл. 28, ал. 1 от </w:t>
      </w:r>
      <w:r w:rsidRPr="00716193">
        <w:rPr>
          <w:rFonts w:eastAsia="Calibri"/>
          <w:sz w:val="24"/>
          <w:szCs w:val="24"/>
          <w:lang w:eastAsia="en-US"/>
        </w:rPr>
        <w:t>ПРУПДТДДУК, едноличният собственик на капитала задължава членовете на СД, посредством договорите за възлагане управлението, да изготвят бизнес програма на дружеството, определена за целия срок на договора за управление и поотделно за всяка година в съответствие със стратегия</w:t>
      </w:r>
      <w:r w:rsidR="00C1411E" w:rsidRPr="00716193">
        <w:rPr>
          <w:rFonts w:eastAsia="Calibri"/>
          <w:sz w:val="24"/>
          <w:szCs w:val="24"/>
          <w:lang w:eastAsia="en-US"/>
        </w:rPr>
        <w:t>та</w:t>
      </w:r>
      <w:r w:rsidRPr="00716193">
        <w:rPr>
          <w:rFonts w:eastAsia="Calibri"/>
          <w:sz w:val="24"/>
          <w:szCs w:val="24"/>
          <w:lang w:eastAsia="en-US"/>
        </w:rPr>
        <w:t xml:space="preserve"> за развитие на дружеството. Бизнес програмата следва да съдържа конкретни икономически показатели, чието изпълнение СД следва да осигури, като: рентабилност, производителност, обем на продажбите, печалба или намаляване на загуба, нови пазари, използване на съоръженията, поддържане на определен брой работни места, финансови задължения, инвестиции и други.</w:t>
      </w:r>
    </w:p>
    <w:p w:rsidR="004F4CBD" w:rsidRPr="00716193" w:rsidRDefault="004F4CBD" w:rsidP="004F4CBD">
      <w:pPr>
        <w:pStyle w:val="FootnoteText"/>
        <w:jc w:val="both"/>
        <w:rPr>
          <w:rFonts w:eastAsia="Calibri"/>
          <w:sz w:val="24"/>
          <w:szCs w:val="24"/>
          <w:lang w:eastAsia="en-US"/>
        </w:rPr>
      </w:pPr>
      <w:r w:rsidRPr="00716193">
        <w:rPr>
          <w:rFonts w:eastAsia="Calibri"/>
          <w:sz w:val="24"/>
          <w:szCs w:val="24"/>
          <w:lang w:eastAsia="en-US"/>
        </w:rPr>
        <w:tab/>
        <w:t xml:space="preserve">В съответствие с </w:t>
      </w:r>
      <w:r w:rsidR="006966AD" w:rsidRPr="00716193">
        <w:rPr>
          <w:rFonts w:eastAsia="Calibri"/>
          <w:sz w:val="24"/>
          <w:szCs w:val="24"/>
          <w:lang w:eastAsia="en-US"/>
        </w:rPr>
        <w:t xml:space="preserve">посоченото </w:t>
      </w:r>
      <w:r w:rsidRPr="00716193">
        <w:rPr>
          <w:rFonts w:eastAsia="Calibri"/>
          <w:sz w:val="24"/>
          <w:szCs w:val="24"/>
          <w:lang w:eastAsia="en-US"/>
        </w:rPr>
        <w:t>изискване, във всеки от сключените договори за възлагане управлението на членовете на СД е опре</w:t>
      </w:r>
      <w:r w:rsidR="0066177D" w:rsidRPr="00716193">
        <w:rPr>
          <w:rFonts w:eastAsia="Calibri"/>
          <w:sz w:val="24"/>
          <w:szCs w:val="24"/>
          <w:lang w:eastAsia="en-US"/>
        </w:rPr>
        <w:t>делено  задължение</w:t>
      </w:r>
      <w:r w:rsidRPr="00716193">
        <w:rPr>
          <w:rFonts w:eastAsia="Calibri"/>
          <w:sz w:val="24"/>
          <w:szCs w:val="24"/>
          <w:lang w:eastAsia="en-US"/>
        </w:rPr>
        <w:t xml:space="preserve"> СД да разработи и представи на принципала за одобряване тригодишна бизнес програма на </w:t>
      </w:r>
      <w:r w:rsidR="0066177D" w:rsidRPr="00716193">
        <w:rPr>
          <w:rFonts w:eastAsia="Calibri"/>
          <w:sz w:val="24"/>
          <w:szCs w:val="24"/>
          <w:lang w:eastAsia="en-US"/>
        </w:rPr>
        <w:t>ТД</w:t>
      </w:r>
      <w:r w:rsidRPr="00716193">
        <w:rPr>
          <w:rFonts w:eastAsia="Calibri"/>
          <w:sz w:val="24"/>
          <w:szCs w:val="24"/>
          <w:lang w:eastAsia="en-US"/>
        </w:rPr>
        <w:t xml:space="preserve"> за целия срок на действие на договора за управление, в двум</w:t>
      </w:r>
      <w:r w:rsidR="0066177D" w:rsidRPr="00716193">
        <w:rPr>
          <w:rFonts w:eastAsia="Calibri"/>
          <w:sz w:val="24"/>
          <w:szCs w:val="24"/>
          <w:lang w:eastAsia="en-US"/>
        </w:rPr>
        <w:t xml:space="preserve">есечен срок от сключването му, както и задължение </w:t>
      </w:r>
      <w:r w:rsidRPr="00716193">
        <w:rPr>
          <w:rFonts w:eastAsia="Calibri"/>
          <w:sz w:val="24"/>
          <w:szCs w:val="24"/>
          <w:lang w:eastAsia="en-US"/>
        </w:rPr>
        <w:t>да разработи и представи на принципала за одобряване програма за дейността с конкретни икономически показатели за всяка година от срока на действие на договора за управление в двумесечен срок от започването на съответната календарна година.</w:t>
      </w:r>
      <w:r w:rsidRPr="00716193">
        <w:rPr>
          <w:rStyle w:val="FootnoteReference"/>
          <w:rFonts w:eastAsia="Calibri"/>
          <w:sz w:val="24"/>
          <w:szCs w:val="24"/>
          <w:lang w:eastAsia="en-US"/>
        </w:rPr>
        <w:footnoteReference w:id="50"/>
      </w:r>
    </w:p>
    <w:p w:rsidR="004F4CBD" w:rsidRPr="00716193" w:rsidRDefault="004F4CBD" w:rsidP="0066177D">
      <w:pPr>
        <w:pStyle w:val="FootnoteText"/>
        <w:jc w:val="both"/>
        <w:rPr>
          <w:rFonts w:eastAsia="Calibri"/>
          <w:sz w:val="24"/>
          <w:szCs w:val="24"/>
          <w:lang w:eastAsia="en-US"/>
        </w:rPr>
      </w:pPr>
      <w:r w:rsidRPr="00716193">
        <w:rPr>
          <w:rFonts w:eastAsia="Calibri"/>
          <w:sz w:val="24"/>
          <w:szCs w:val="24"/>
          <w:lang w:eastAsia="en-US"/>
        </w:rPr>
        <w:t xml:space="preserve"> </w:t>
      </w:r>
      <w:r w:rsidRPr="00716193">
        <w:rPr>
          <w:sz w:val="24"/>
          <w:szCs w:val="24"/>
        </w:rPr>
        <w:t xml:space="preserve"> </w:t>
      </w:r>
      <w:r w:rsidRPr="00716193">
        <w:rPr>
          <w:sz w:val="24"/>
          <w:szCs w:val="24"/>
        </w:rPr>
        <w:tab/>
      </w:r>
      <w:r w:rsidRPr="00716193">
        <w:rPr>
          <w:spacing w:val="-2"/>
          <w:sz w:val="24"/>
          <w:szCs w:val="24"/>
        </w:rPr>
        <w:t>Независимо от извършените девет промени в състава на Съвета на директорите</w:t>
      </w:r>
      <w:r w:rsidRPr="00716193">
        <w:rPr>
          <w:rStyle w:val="FootnoteReference"/>
          <w:spacing w:val="-2"/>
          <w:sz w:val="24"/>
          <w:szCs w:val="24"/>
        </w:rPr>
        <w:footnoteReference w:id="51"/>
      </w:r>
      <w:r w:rsidRPr="00716193">
        <w:rPr>
          <w:spacing w:val="-2"/>
          <w:sz w:val="24"/>
          <w:szCs w:val="24"/>
        </w:rPr>
        <w:t xml:space="preserve"> п</w:t>
      </w:r>
      <w:r w:rsidRPr="00716193">
        <w:rPr>
          <w:sz w:val="24"/>
          <w:szCs w:val="24"/>
        </w:rPr>
        <w:t>рез одитирания период, е разработена</w:t>
      </w:r>
      <w:r w:rsidRPr="00716193">
        <w:rPr>
          <w:sz w:val="24"/>
          <w:szCs w:val="24"/>
          <w:lang w:val="en-US"/>
        </w:rPr>
        <w:t xml:space="preserve"> </w:t>
      </w:r>
      <w:r w:rsidRPr="00716193">
        <w:rPr>
          <w:sz w:val="24"/>
          <w:szCs w:val="24"/>
        </w:rPr>
        <w:t xml:space="preserve">само една бизнес програма - </w:t>
      </w:r>
      <w:r w:rsidRPr="00716193">
        <w:rPr>
          <w:rFonts w:eastAsia="Calibri"/>
          <w:sz w:val="24"/>
          <w:szCs w:val="24"/>
          <w:lang w:eastAsia="en-US"/>
        </w:rPr>
        <w:t>„Бизнес-програма и стратегия за развитие на „Национална спортна база“ ЕАД за периода 2013 г. –  2016 г.“</w:t>
      </w:r>
      <w:r w:rsidRPr="00716193">
        <w:rPr>
          <w:rStyle w:val="FootnoteReference"/>
          <w:rFonts w:eastAsia="Calibri"/>
          <w:sz w:val="24"/>
          <w:szCs w:val="24"/>
          <w:lang w:eastAsia="en-US"/>
        </w:rPr>
        <w:footnoteReference w:id="52"/>
      </w:r>
      <w:r w:rsidR="0066177D" w:rsidRPr="00716193">
        <w:rPr>
          <w:rFonts w:eastAsia="Calibri"/>
          <w:sz w:val="24"/>
          <w:szCs w:val="24"/>
          <w:lang w:eastAsia="en-US"/>
        </w:rPr>
        <w:t xml:space="preserve"> В нея</w:t>
      </w:r>
      <w:r w:rsidRPr="00716193">
        <w:rPr>
          <w:rFonts w:eastAsia="Calibri"/>
          <w:sz w:val="24"/>
          <w:szCs w:val="24"/>
          <w:lang w:eastAsia="en-US"/>
        </w:rPr>
        <w:t xml:space="preserve"> е представен финансово-икономически статистически и динамичен анализ за дейността и състоянието на </w:t>
      </w:r>
      <w:r w:rsidR="008F0D28" w:rsidRPr="00716193">
        <w:rPr>
          <w:rFonts w:eastAsia="Calibri"/>
          <w:sz w:val="24"/>
          <w:szCs w:val="24"/>
          <w:lang w:eastAsia="en-US"/>
        </w:rPr>
        <w:t>„</w:t>
      </w:r>
      <w:r w:rsidRPr="00716193">
        <w:rPr>
          <w:rFonts w:eastAsia="Calibri"/>
          <w:sz w:val="24"/>
          <w:szCs w:val="24"/>
          <w:lang w:eastAsia="en-US"/>
        </w:rPr>
        <w:t>НСБ</w:t>
      </w:r>
      <w:r w:rsidR="000D7766" w:rsidRPr="00716193">
        <w:rPr>
          <w:rFonts w:eastAsia="Calibri"/>
          <w:sz w:val="24"/>
          <w:szCs w:val="24"/>
          <w:lang w:eastAsia="en-US"/>
        </w:rPr>
        <w:t>“</w:t>
      </w:r>
      <w:r w:rsidRPr="00716193">
        <w:rPr>
          <w:rFonts w:eastAsia="Calibri"/>
          <w:sz w:val="24"/>
          <w:szCs w:val="24"/>
          <w:lang w:eastAsia="en-US"/>
        </w:rPr>
        <w:t xml:space="preserve"> ЕАД, като във връзка с установените проблеми са предложени основни насо</w:t>
      </w:r>
      <w:r w:rsidR="0066177D" w:rsidRPr="00716193">
        <w:rPr>
          <w:rFonts w:eastAsia="Calibri"/>
          <w:sz w:val="24"/>
          <w:szCs w:val="24"/>
          <w:lang w:eastAsia="en-US"/>
        </w:rPr>
        <w:t xml:space="preserve">ки за развитие на дружеството. </w:t>
      </w:r>
      <w:r w:rsidRPr="00716193">
        <w:rPr>
          <w:rFonts w:eastAsia="Calibri"/>
          <w:sz w:val="24"/>
          <w:szCs w:val="24"/>
          <w:lang w:eastAsia="en-US"/>
        </w:rPr>
        <w:t>Заложените цели в бизнес програмата не са обвързани с достатъчно на брой конкретни икономически показатели</w:t>
      </w:r>
      <w:r w:rsidRPr="00716193">
        <w:rPr>
          <w:spacing w:val="-2"/>
          <w:sz w:val="24"/>
          <w:szCs w:val="24"/>
        </w:rPr>
        <w:t xml:space="preserve"> за тяхното изпълнение, не са дефинирани във времето - с определени крайни срокове.</w:t>
      </w:r>
      <w:r w:rsidRPr="00716193">
        <w:rPr>
          <w:sz w:val="24"/>
          <w:szCs w:val="24"/>
        </w:rPr>
        <w:t xml:space="preserve"> </w:t>
      </w:r>
      <w:r w:rsidRPr="00716193">
        <w:rPr>
          <w:spacing w:val="-2"/>
          <w:sz w:val="24"/>
          <w:szCs w:val="24"/>
        </w:rPr>
        <w:t>Не е осигурена обвързаност между процесите на целеполагане и планиране на финансовия ресурс. Всичко това предпоставя затруднение при изпълнението на целите, както и извършването на оценка на постигнатите резултати.</w:t>
      </w:r>
    </w:p>
    <w:p w:rsidR="004F4CBD" w:rsidRPr="00716193" w:rsidRDefault="004F4CBD" w:rsidP="004F4CBD">
      <w:pPr>
        <w:pStyle w:val="FootnoteText"/>
        <w:jc w:val="both"/>
        <w:rPr>
          <w:rFonts w:eastAsia="Calibri"/>
          <w:sz w:val="24"/>
          <w:szCs w:val="24"/>
          <w:lang w:eastAsia="en-US"/>
        </w:rPr>
      </w:pPr>
      <w:r w:rsidRPr="00716193">
        <w:rPr>
          <w:rFonts w:eastAsia="Calibri"/>
          <w:sz w:val="24"/>
          <w:szCs w:val="24"/>
          <w:lang w:eastAsia="en-US"/>
        </w:rPr>
        <w:tab/>
        <w:t>Бизнес програмата не е приета от Съвета на директорите</w:t>
      </w:r>
      <w:r w:rsidRPr="00716193">
        <w:rPr>
          <w:rStyle w:val="FootnoteReference"/>
          <w:rFonts w:eastAsia="Calibri"/>
          <w:sz w:val="24"/>
          <w:szCs w:val="24"/>
          <w:lang w:eastAsia="en-US"/>
        </w:rPr>
        <w:footnoteReference w:id="53"/>
      </w:r>
      <w:r w:rsidRPr="00716193">
        <w:rPr>
          <w:rFonts w:eastAsia="Calibri"/>
          <w:sz w:val="24"/>
          <w:szCs w:val="24"/>
          <w:lang w:eastAsia="en-US"/>
        </w:rPr>
        <w:t xml:space="preserve">, </w:t>
      </w:r>
      <w:r w:rsidR="0066177D" w:rsidRPr="00716193">
        <w:rPr>
          <w:rFonts w:eastAsia="Calibri"/>
          <w:sz w:val="24"/>
          <w:szCs w:val="24"/>
          <w:lang w:eastAsia="en-US"/>
        </w:rPr>
        <w:t>в съответствие с</w:t>
      </w:r>
      <w:r w:rsidRPr="00716193">
        <w:rPr>
          <w:rFonts w:eastAsia="Calibri"/>
          <w:sz w:val="24"/>
          <w:szCs w:val="24"/>
          <w:lang w:eastAsia="en-US"/>
        </w:rPr>
        <w:t xml:space="preserve">  чл. 18, ал. 1, т. 3 от Устава на дружеството, </w:t>
      </w:r>
      <w:r w:rsidR="00F128CE" w:rsidRPr="00716193">
        <w:rPr>
          <w:rFonts w:eastAsia="Calibri"/>
          <w:sz w:val="24"/>
          <w:szCs w:val="24"/>
          <w:lang w:eastAsia="en-US"/>
        </w:rPr>
        <w:t>но</w:t>
      </w:r>
      <w:r w:rsidRPr="00716193">
        <w:rPr>
          <w:rFonts w:eastAsia="Calibri"/>
          <w:sz w:val="24"/>
          <w:szCs w:val="24"/>
          <w:lang w:eastAsia="en-US"/>
        </w:rPr>
        <w:t xml:space="preserve"> е представена на едноличния собственик на капитала за одобряване в изискуемия двумесечен срок от подписване на договорите за възлагане управлението на дружеството с членовете на СД, с което е спазено изискването на чл. 28, ал. 3 от  ПРУПДТДДУК относно срока на представяне.</w:t>
      </w:r>
      <w:r w:rsidRPr="00716193">
        <w:rPr>
          <w:rStyle w:val="FootnoteReference"/>
          <w:rFonts w:eastAsia="Calibri"/>
          <w:sz w:val="24"/>
          <w:szCs w:val="24"/>
          <w:lang w:eastAsia="en-US"/>
        </w:rPr>
        <w:footnoteReference w:id="54"/>
      </w:r>
      <w:r w:rsidRPr="00716193">
        <w:rPr>
          <w:rFonts w:eastAsia="Calibri"/>
          <w:sz w:val="24"/>
          <w:szCs w:val="24"/>
          <w:lang w:eastAsia="en-US"/>
        </w:rPr>
        <w:t xml:space="preserve"> </w:t>
      </w:r>
    </w:p>
    <w:p w:rsidR="004F4CBD" w:rsidRPr="00716193" w:rsidRDefault="004F4CBD" w:rsidP="004F4CBD">
      <w:pPr>
        <w:pStyle w:val="FootnoteText"/>
        <w:jc w:val="both"/>
        <w:rPr>
          <w:rFonts w:eastAsia="Calibri"/>
          <w:sz w:val="24"/>
          <w:szCs w:val="24"/>
          <w:lang w:eastAsia="en-US"/>
        </w:rPr>
      </w:pPr>
      <w:r w:rsidRPr="00716193">
        <w:rPr>
          <w:rFonts w:eastAsia="Calibri"/>
          <w:sz w:val="24"/>
          <w:szCs w:val="24"/>
          <w:lang w:eastAsia="en-US"/>
        </w:rPr>
        <w:tab/>
        <w:t>Установ</w:t>
      </w:r>
      <w:r w:rsidR="00C164C9" w:rsidRPr="00716193">
        <w:rPr>
          <w:rFonts w:eastAsia="Calibri"/>
          <w:sz w:val="24"/>
          <w:szCs w:val="24"/>
          <w:lang w:eastAsia="en-US"/>
        </w:rPr>
        <w:t>ено</w:t>
      </w:r>
      <w:r w:rsidRPr="00716193">
        <w:rPr>
          <w:rFonts w:eastAsia="Calibri"/>
          <w:sz w:val="24"/>
          <w:szCs w:val="24"/>
          <w:lang w:eastAsia="en-US"/>
        </w:rPr>
        <w:t xml:space="preserve"> е, че предоставената бизнес програма не е одобрена от едноличния собственик на капитала, в несъответствие с чл. 28, ал. 3 от  ПРУПДТДДУК.</w:t>
      </w:r>
      <w:r w:rsidRPr="00716193">
        <w:rPr>
          <w:rStyle w:val="FootnoteReference"/>
          <w:rFonts w:eastAsia="Calibri"/>
          <w:sz w:val="24"/>
          <w:szCs w:val="24"/>
          <w:lang w:eastAsia="en-US"/>
        </w:rPr>
        <w:footnoteReference w:id="55"/>
      </w:r>
      <w:r w:rsidRPr="00716193">
        <w:rPr>
          <w:rFonts w:eastAsia="Calibri"/>
          <w:sz w:val="24"/>
          <w:szCs w:val="24"/>
          <w:lang w:val="en-US" w:eastAsia="en-US"/>
        </w:rPr>
        <w:t xml:space="preserve"> </w:t>
      </w:r>
      <w:r w:rsidRPr="00716193">
        <w:rPr>
          <w:rFonts w:eastAsia="Calibri"/>
          <w:sz w:val="24"/>
          <w:szCs w:val="24"/>
          <w:lang w:eastAsia="en-US"/>
        </w:rPr>
        <w:t xml:space="preserve">Министърът на младежта и спорта </w:t>
      </w:r>
      <w:r w:rsidR="00EC4028" w:rsidRPr="00716193">
        <w:rPr>
          <w:rFonts w:eastAsia="Calibri"/>
          <w:sz w:val="24"/>
          <w:szCs w:val="24"/>
          <w:lang w:eastAsia="en-US"/>
        </w:rPr>
        <w:t xml:space="preserve">е </w:t>
      </w:r>
      <w:r w:rsidRPr="00716193">
        <w:rPr>
          <w:rFonts w:eastAsia="Calibri"/>
          <w:sz w:val="24"/>
          <w:szCs w:val="24"/>
          <w:lang w:eastAsia="en-US"/>
        </w:rPr>
        <w:t>информира</w:t>
      </w:r>
      <w:r w:rsidR="00EC4028" w:rsidRPr="00716193">
        <w:rPr>
          <w:rFonts w:eastAsia="Calibri"/>
          <w:sz w:val="24"/>
          <w:szCs w:val="24"/>
          <w:lang w:eastAsia="en-US"/>
        </w:rPr>
        <w:t>л</w:t>
      </w:r>
      <w:r w:rsidRPr="00716193">
        <w:rPr>
          <w:rFonts w:eastAsia="Calibri"/>
          <w:sz w:val="24"/>
          <w:szCs w:val="24"/>
          <w:lang w:eastAsia="en-US"/>
        </w:rPr>
        <w:t xml:space="preserve"> одитния екип, че </w:t>
      </w:r>
      <w:r w:rsidR="007827F3" w:rsidRPr="00716193">
        <w:rPr>
          <w:rFonts w:eastAsia="Calibri"/>
          <w:sz w:val="24"/>
          <w:szCs w:val="24"/>
          <w:lang w:eastAsia="en-US"/>
        </w:rPr>
        <w:t>„</w:t>
      </w:r>
      <w:r w:rsidRPr="00716193">
        <w:rPr>
          <w:rFonts w:eastAsia="Calibri"/>
          <w:sz w:val="24"/>
          <w:szCs w:val="24"/>
          <w:lang w:eastAsia="en-US"/>
        </w:rPr>
        <w:t xml:space="preserve">одобряването на бизнес програмите на дружеството </w:t>
      </w:r>
      <w:r w:rsidR="007827F3" w:rsidRPr="00716193">
        <w:rPr>
          <w:rFonts w:eastAsia="Calibri"/>
          <w:sz w:val="24"/>
          <w:szCs w:val="24"/>
          <w:lang w:eastAsia="en-US"/>
        </w:rPr>
        <w:t xml:space="preserve">„НСБ“ ЕАД </w:t>
      </w:r>
      <w:r w:rsidRPr="00716193">
        <w:rPr>
          <w:rFonts w:eastAsia="Calibri"/>
          <w:sz w:val="24"/>
          <w:szCs w:val="24"/>
          <w:lang w:eastAsia="en-US"/>
        </w:rPr>
        <w:t>е в процес на анализиране и изготвяне</w:t>
      </w:r>
      <w:r w:rsidR="007827F3" w:rsidRPr="00716193">
        <w:rPr>
          <w:rFonts w:eastAsia="Calibri"/>
          <w:sz w:val="24"/>
          <w:szCs w:val="24"/>
          <w:lang w:eastAsia="en-US"/>
        </w:rPr>
        <w:t>“</w:t>
      </w:r>
      <w:r w:rsidRPr="00716193">
        <w:rPr>
          <w:rFonts w:eastAsia="Calibri"/>
          <w:sz w:val="24"/>
          <w:szCs w:val="24"/>
          <w:lang w:eastAsia="en-US"/>
        </w:rPr>
        <w:t>.</w:t>
      </w:r>
      <w:r w:rsidRPr="00716193">
        <w:rPr>
          <w:rStyle w:val="FootnoteReference"/>
          <w:rFonts w:eastAsia="Calibri"/>
          <w:sz w:val="24"/>
          <w:szCs w:val="24"/>
          <w:lang w:eastAsia="en-US"/>
        </w:rPr>
        <w:footnoteReference w:id="56"/>
      </w:r>
    </w:p>
    <w:p w:rsidR="004F4CBD" w:rsidRPr="00716193" w:rsidRDefault="004F4CBD" w:rsidP="004F4CBD">
      <w:pPr>
        <w:pStyle w:val="FootnoteText"/>
        <w:jc w:val="both"/>
        <w:rPr>
          <w:sz w:val="24"/>
          <w:szCs w:val="24"/>
        </w:rPr>
      </w:pPr>
      <w:r w:rsidRPr="00716193">
        <w:rPr>
          <w:rFonts w:eastAsia="Calibri"/>
          <w:sz w:val="24"/>
          <w:szCs w:val="24"/>
          <w:lang w:eastAsia="en-US"/>
        </w:rPr>
        <w:tab/>
        <w:t xml:space="preserve">През одитирания период </w:t>
      </w:r>
      <w:r w:rsidRPr="00716193">
        <w:rPr>
          <w:sz w:val="24"/>
          <w:szCs w:val="24"/>
        </w:rPr>
        <w:t xml:space="preserve">няма разработени от СД годишни бизнес програми на дружеството, което обуславя непредставянето на такива и одобряването им от принципала, в несъответствие с изискванията на чл. 28 от </w:t>
      </w:r>
      <w:r w:rsidRPr="00716193">
        <w:rPr>
          <w:rFonts w:eastAsia="Calibri"/>
          <w:sz w:val="24"/>
          <w:szCs w:val="24"/>
          <w:lang w:eastAsia="en-US"/>
        </w:rPr>
        <w:t>ПРУПДТДДУК и договорите за възлагане управлението на дружеството.</w:t>
      </w:r>
      <w:r w:rsidRPr="00716193">
        <w:rPr>
          <w:rStyle w:val="FootnoteReference"/>
          <w:rFonts w:eastAsia="Calibri"/>
          <w:sz w:val="24"/>
          <w:szCs w:val="24"/>
          <w:lang w:eastAsia="en-US"/>
        </w:rPr>
        <w:footnoteReference w:id="57"/>
      </w:r>
    </w:p>
    <w:p w:rsidR="004F4CBD" w:rsidRPr="00716193" w:rsidRDefault="004F4CBD" w:rsidP="004F4CBD">
      <w:pPr>
        <w:pStyle w:val="FootnoteText"/>
        <w:jc w:val="both"/>
        <w:rPr>
          <w:i/>
          <w:spacing w:val="-2"/>
          <w:sz w:val="24"/>
          <w:szCs w:val="24"/>
        </w:rPr>
      </w:pPr>
    </w:p>
    <w:p w:rsidR="004F4CBD" w:rsidRPr="00716193" w:rsidRDefault="004F4CBD" w:rsidP="004F4CBD">
      <w:pPr>
        <w:pStyle w:val="FootnoteText"/>
        <w:jc w:val="both"/>
        <w:rPr>
          <w:i/>
          <w:spacing w:val="-2"/>
          <w:sz w:val="24"/>
          <w:szCs w:val="24"/>
        </w:rPr>
      </w:pPr>
      <w:r w:rsidRPr="00716193">
        <w:rPr>
          <w:i/>
          <w:spacing w:val="-2"/>
          <w:sz w:val="24"/>
          <w:szCs w:val="24"/>
        </w:rPr>
        <w:lastRenderedPageBreak/>
        <w:tab/>
        <w:t xml:space="preserve">През одитирания период </w:t>
      </w:r>
      <w:r w:rsidR="008F0D28" w:rsidRPr="00716193">
        <w:rPr>
          <w:i/>
          <w:spacing w:val="-2"/>
          <w:sz w:val="24"/>
          <w:szCs w:val="24"/>
        </w:rPr>
        <w:t>„</w:t>
      </w:r>
      <w:r w:rsidRPr="00716193">
        <w:rPr>
          <w:i/>
          <w:spacing w:val="-2"/>
          <w:sz w:val="24"/>
          <w:szCs w:val="24"/>
        </w:rPr>
        <w:t>НСБ</w:t>
      </w:r>
      <w:r w:rsidR="008F0D28" w:rsidRPr="00716193">
        <w:rPr>
          <w:i/>
          <w:spacing w:val="-2"/>
          <w:sz w:val="24"/>
          <w:szCs w:val="24"/>
        </w:rPr>
        <w:t>“</w:t>
      </w:r>
      <w:r w:rsidRPr="00716193">
        <w:rPr>
          <w:i/>
          <w:spacing w:val="-2"/>
          <w:sz w:val="24"/>
          <w:szCs w:val="24"/>
        </w:rPr>
        <w:t xml:space="preserve"> ЕАД работи в условията на не</w:t>
      </w:r>
      <w:r w:rsidRPr="00716193">
        <w:rPr>
          <w:i/>
          <w:sz w:val="24"/>
          <w:szCs w:val="24"/>
        </w:rPr>
        <w:t>утвърдена Стратегия за развитие на дружеството и</w:t>
      </w:r>
      <w:r w:rsidRPr="00716193">
        <w:rPr>
          <w:i/>
          <w:spacing w:val="-2"/>
          <w:sz w:val="24"/>
          <w:szCs w:val="24"/>
        </w:rPr>
        <w:t xml:space="preserve"> неодобрени бизнес програми – дългосрочни и годишни</w:t>
      </w:r>
      <w:r w:rsidRPr="00716193">
        <w:rPr>
          <w:rFonts w:eastAsia="Calibri"/>
          <w:i/>
          <w:sz w:val="24"/>
          <w:szCs w:val="24"/>
          <w:lang w:eastAsia="en-US"/>
        </w:rPr>
        <w:t>, в несъответствие с ПРУПДТДДУК, Устава и договорите за възлагане управлението на дружеството.</w:t>
      </w:r>
    </w:p>
    <w:p w:rsidR="004F4CBD" w:rsidRPr="00716193" w:rsidRDefault="004F4CBD" w:rsidP="004F4CBD">
      <w:pPr>
        <w:pStyle w:val="FootnoteText"/>
        <w:jc w:val="both"/>
        <w:rPr>
          <w:rFonts w:eastAsia="Calibri"/>
          <w:i/>
          <w:sz w:val="24"/>
          <w:szCs w:val="24"/>
          <w:lang w:eastAsia="en-US"/>
        </w:rPr>
      </w:pPr>
      <w:r w:rsidRPr="00716193">
        <w:rPr>
          <w:i/>
          <w:spacing w:val="-2"/>
          <w:sz w:val="24"/>
          <w:szCs w:val="24"/>
        </w:rPr>
        <w:tab/>
      </w:r>
      <w:r w:rsidR="00EC4028" w:rsidRPr="00716193">
        <w:rPr>
          <w:i/>
          <w:spacing w:val="-2"/>
          <w:sz w:val="24"/>
          <w:szCs w:val="24"/>
        </w:rPr>
        <w:t>Не е осъществен ефективен контрол от страна на министъра, в качеството му на упражняващ правата на едноличен собственик на капитала</w:t>
      </w:r>
      <w:r w:rsidR="0066177D" w:rsidRPr="00716193">
        <w:rPr>
          <w:i/>
          <w:spacing w:val="-2"/>
          <w:sz w:val="24"/>
          <w:szCs w:val="24"/>
        </w:rPr>
        <w:t>,</w:t>
      </w:r>
      <w:r w:rsidR="00EC4028" w:rsidRPr="00716193">
        <w:rPr>
          <w:i/>
          <w:spacing w:val="-2"/>
          <w:sz w:val="24"/>
          <w:szCs w:val="24"/>
        </w:rPr>
        <w:t xml:space="preserve"> </w:t>
      </w:r>
      <w:r w:rsidR="00016D7A" w:rsidRPr="00716193">
        <w:rPr>
          <w:i/>
          <w:spacing w:val="-2"/>
          <w:sz w:val="24"/>
          <w:szCs w:val="24"/>
        </w:rPr>
        <w:t xml:space="preserve">във връзка с </w:t>
      </w:r>
      <w:r w:rsidR="00EC4028" w:rsidRPr="00716193">
        <w:rPr>
          <w:i/>
          <w:spacing w:val="-2"/>
          <w:sz w:val="24"/>
          <w:szCs w:val="24"/>
        </w:rPr>
        <w:t xml:space="preserve">изготвянето и </w:t>
      </w:r>
      <w:r w:rsidRPr="00716193">
        <w:rPr>
          <w:i/>
          <w:spacing w:val="-2"/>
          <w:sz w:val="24"/>
          <w:szCs w:val="24"/>
        </w:rPr>
        <w:t xml:space="preserve">представянето на бизнес програми </w:t>
      </w:r>
      <w:r w:rsidR="00EC4028" w:rsidRPr="00716193">
        <w:rPr>
          <w:i/>
          <w:spacing w:val="-2"/>
          <w:sz w:val="24"/>
          <w:szCs w:val="24"/>
        </w:rPr>
        <w:t>на дружеството, което е довело до неспазване на договорни задължения и</w:t>
      </w:r>
      <w:r w:rsidR="00CE64F4" w:rsidRPr="00716193">
        <w:rPr>
          <w:i/>
          <w:spacing w:val="-2"/>
          <w:sz w:val="24"/>
          <w:szCs w:val="24"/>
        </w:rPr>
        <w:t xml:space="preserve"> до</w:t>
      </w:r>
      <w:r w:rsidR="00EC4028" w:rsidRPr="00716193">
        <w:rPr>
          <w:i/>
          <w:spacing w:val="-2"/>
          <w:sz w:val="24"/>
          <w:szCs w:val="24"/>
        </w:rPr>
        <w:t xml:space="preserve"> наруш</w:t>
      </w:r>
      <w:r w:rsidR="00CC7690" w:rsidRPr="00716193">
        <w:rPr>
          <w:i/>
          <w:spacing w:val="-2"/>
          <w:sz w:val="24"/>
          <w:szCs w:val="24"/>
        </w:rPr>
        <w:t>аване на нормативни изисквания</w:t>
      </w:r>
      <w:r w:rsidRPr="00716193">
        <w:rPr>
          <w:i/>
          <w:spacing w:val="-2"/>
          <w:sz w:val="24"/>
          <w:szCs w:val="24"/>
        </w:rPr>
        <w:t>.</w:t>
      </w:r>
    </w:p>
    <w:p w:rsidR="004F4CBD" w:rsidRPr="00716193" w:rsidRDefault="004F4CBD" w:rsidP="004F4CBD">
      <w:pPr>
        <w:pStyle w:val="FootnoteText"/>
        <w:jc w:val="both"/>
        <w:rPr>
          <w:rFonts w:eastAsia="Calibri"/>
          <w:sz w:val="24"/>
          <w:szCs w:val="24"/>
          <w:lang w:eastAsia="en-US"/>
        </w:rPr>
      </w:pPr>
      <w:r w:rsidRPr="00716193">
        <w:rPr>
          <w:rFonts w:eastAsia="Calibri"/>
          <w:sz w:val="24"/>
          <w:szCs w:val="24"/>
          <w:lang w:eastAsia="en-US"/>
        </w:rPr>
        <w:tab/>
      </w:r>
    </w:p>
    <w:p w:rsidR="004F4CBD" w:rsidRPr="00716193" w:rsidRDefault="004F4CBD" w:rsidP="004F4CBD">
      <w:pPr>
        <w:pStyle w:val="FootnoteText"/>
        <w:jc w:val="both"/>
        <w:rPr>
          <w:b/>
          <w:sz w:val="24"/>
          <w:szCs w:val="24"/>
        </w:rPr>
      </w:pPr>
      <w:r w:rsidRPr="00716193">
        <w:rPr>
          <w:rFonts w:eastAsia="Calibri"/>
          <w:sz w:val="24"/>
          <w:szCs w:val="24"/>
          <w:lang w:eastAsia="en-US"/>
        </w:rPr>
        <w:tab/>
      </w:r>
      <w:r w:rsidRPr="00716193">
        <w:rPr>
          <w:rFonts w:eastAsia="Calibri"/>
          <w:b/>
          <w:sz w:val="24"/>
          <w:szCs w:val="24"/>
          <w:lang w:eastAsia="en-US"/>
        </w:rPr>
        <w:t>1.7.</w:t>
      </w:r>
      <w:r w:rsidRPr="00716193">
        <w:rPr>
          <w:rFonts w:eastAsia="Calibri"/>
          <w:sz w:val="24"/>
          <w:szCs w:val="24"/>
          <w:lang w:eastAsia="en-US"/>
        </w:rPr>
        <w:t xml:space="preserve"> </w:t>
      </w:r>
      <w:r w:rsidRPr="00716193">
        <w:rPr>
          <w:b/>
          <w:sz w:val="24"/>
          <w:szCs w:val="24"/>
        </w:rPr>
        <w:t>Отчетност за работата на Съвета на директорите</w:t>
      </w:r>
    </w:p>
    <w:p w:rsidR="004F4CBD" w:rsidRPr="00716193" w:rsidRDefault="004F4CBD" w:rsidP="004F4CBD">
      <w:pPr>
        <w:jc w:val="both"/>
      </w:pPr>
      <w:r w:rsidRPr="00716193">
        <w:rPr>
          <w:b/>
        </w:rPr>
        <w:tab/>
      </w:r>
      <w:r w:rsidRPr="00716193">
        <w:rPr>
          <w:rFonts w:eastAsia="Calibri"/>
          <w:lang w:eastAsia="en-US"/>
        </w:rPr>
        <w:t>Съгласно чл. 23 от</w:t>
      </w:r>
      <w:r w:rsidRPr="00716193">
        <w:rPr>
          <w:rFonts w:eastAsia="Calibri"/>
          <w:b/>
          <w:lang w:eastAsia="en-US"/>
        </w:rPr>
        <w:t xml:space="preserve"> </w:t>
      </w:r>
      <w:r w:rsidRPr="00716193">
        <w:rPr>
          <w:rFonts w:eastAsia="Calibri"/>
          <w:lang w:eastAsia="en-US"/>
        </w:rPr>
        <w:t>ПРУПДТДДУК,</w:t>
      </w:r>
      <w:r w:rsidRPr="00716193">
        <w:t xml:space="preserve"> Съветът на директорите в 15-дневен срок след изтичането на всяко тримесечие и след приключване на финансовата година представят на органа, упражняващ правата на държавата в търговските дружества с държавно участие в капитала, писмен отчет за работата си – за резултатите от изпълнението на бизнес програмата на дружеството, за финансовото и икономическото състояние на дружеството, за съществуващите проблеми и мерки за тяхното решаване. Това задължение е определено и в договорите за възлагане управлението на дружеството.</w:t>
      </w:r>
      <w:r w:rsidRPr="00716193">
        <w:rPr>
          <w:rStyle w:val="FootnoteReference"/>
        </w:rPr>
        <w:footnoteReference w:id="58"/>
      </w:r>
    </w:p>
    <w:p w:rsidR="004F4CBD" w:rsidRPr="00716193" w:rsidRDefault="004F4CBD" w:rsidP="004F4CBD">
      <w:pPr>
        <w:jc w:val="both"/>
        <w:rPr>
          <w:spacing w:val="-2"/>
        </w:rPr>
      </w:pPr>
      <w:r w:rsidRPr="00716193">
        <w:rPr>
          <w:b/>
        </w:rPr>
        <w:t xml:space="preserve"> </w:t>
      </w:r>
      <w:r w:rsidRPr="00716193">
        <w:rPr>
          <w:b/>
        </w:rPr>
        <w:tab/>
      </w:r>
      <w:r w:rsidRPr="00716193">
        <w:rPr>
          <w:spacing w:val="-2"/>
        </w:rPr>
        <w:t>Установ</w:t>
      </w:r>
      <w:r w:rsidR="007C653E" w:rsidRPr="00716193">
        <w:rPr>
          <w:spacing w:val="-2"/>
        </w:rPr>
        <w:t>ено</w:t>
      </w:r>
      <w:r w:rsidRPr="00716193">
        <w:rPr>
          <w:spacing w:val="-2"/>
        </w:rPr>
        <w:t xml:space="preserve"> е, че след изтичането на всяко тримесечие от</w:t>
      </w:r>
      <w:r w:rsidR="007A44A8" w:rsidRPr="00716193">
        <w:rPr>
          <w:spacing w:val="-2"/>
        </w:rPr>
        <w:t xml:space="preserve"> одитирания период, от СД</w:t>
      </w:r>
      <w:r w:rsidRPr="00716193">
        <w:rPr>
          <w:spacing w:val="-2"/>
        </w:rPr>
        <w:t xml:space="preserve"> на </w:t>
      </w:r>
      <w:r w:rsidR="008F0D28" w:rsidRPr="00716193">
        <w:rPr>
          <w:spacing w:val="-2"/>
        </w:rPr>
        <w:t>„</w:t>
      </w:r>
      <w:r w:rsidRPr="00716193">
        <w:rPr>
          <w:spacing w:val="-2"/>
        </w:rPr>
        <w:t>НСБ</w:t>
      </w:r>
      <w:r w:rsidR="008F0D28" w:rsidRPr="00716193">
        <w:rPr>
          <w:spacing w:val="-2"/>
        </w:rPr>
        <w:t>“</w:t>
      </w:r>
      <w:r w:rsidRPr="00716193">
        <w:rPr>
          <w:spacing w:val="-2"/>
        </w:rPr>
        <w:t xml:space="preserve"> ЕАД са представяни на едноличния собственик на капитала тримесечни финансови отчети, съгласно изискванията на чл. 3 от ПМС № 114 от</w:t>
      </w:r>
      <w:r w:rsidR="007A44A8" w:rsidRPr="00716193">
        <w:rPr>
          <w:spacing w:val="-2"/>
        </w:rPr>
        <w:t xml:space="preserve"> </w:t>
      </w:r>
      <w:r w:rsidRPr="00716193">
        <w:rPr>
          <w:spacing w:val="-2"/>
        </w:rPr>
        <w:t>10.06.2010 г.</w:t>
      </w:r>
      <w:r w:rsidRPr="00716193">
        <w:rPr>
          <w:rStyle w:val="FootnoteReference"/>
          <w:spacing w:val="-2"/>
        </w:rPr>
        <w:footnoteReference w:id="59"/>
      </w:r>
      <w:r w:rsidRPr="00716193">
        <w:rPr>
          <w:spacing w:val="-2"/>
        </w:rPr>
        <w:t>, придружени с доклади за дейността, съдържащи информация за финансово-икономическото състояние на дружеството.</w:t>
      </w:r>
      <w:r w:rsidRPr="00716193">
        <w:rPr>
          <w:rStyle w:val="FootnoteReference"/>
          <w:spacing w:val="-2"/>
        </w:rPr>
        <w:footnoteReference w:id="60"/>
      </w:r>
      <w:r w:rsidRPr="00716193">
        <w:rPr>
          <w:spacing w:val="-2"/>
        </w:rPr>
        <w:t xml:space="preserve">  </w:t>
      </w:r>
    </w:p>
    <w:p w:rsidR="004F4CBD" w:rsidRPr="00716193" w:rsidRDefault="004F4CBD" w:rsidP="004F4CBD">
      <w:pPr>
        <w:tabs>
          <w:tab w:val="left" w:pos="0"/>
        </w:tabs>
        <w:ind w:firstLine="709"/>
        <w:jc w:val="both"/>
      </w:pPr>
      <w:r w:rsidRPr="00716193">
        <w:rPr>
          <w:spacing w:val="-2"/>
        </w:rPr>
        <w:t xml:space="preserve">Докладите за дейността на дружеството, за двете години от одитирания период, представляват част от представените годишни финансови отчети в ММС. </w:t>
      </w:r>
      <w:r w:rsidR="007A44A8" w:rsidRPr="00716193">
        <w:rPr>
          <w:spacing w:val="-2"/>
        </w:rPr>
        <w:t>В тях</w:t>
      </w:r>
      <w:r w:rsidRPr="00716193">
        <w:rPr>
          <w:spacing w:val="-2"/>
        </w:rPr>
        <w:t xml:space="preserve"> са отразени основните финансово-икономически резултати на </w:t>
      </w:r>
      <w:r w:rsidR="008F0D28" w:rsidRPr="00716193">
        <w:rPr>
          <w:spacing w:val="-2"/>
        </w:rPr>
        <w:t>„</w:t>
      </w:r>
      <w:r w:rsidRPr="00716193">
        <w:rPr>
          <w:spacing w:val="-2"/>
        </w:rPr>
        <w:t>НСБ</w:t>
      </w:r>
      <w:r w:rsidR="008F0D28" w:rsidRPr="00716193">
        <w:rPr>
          <w:spacing w:val="-2"/>
        </w:rPr>
        <w:t>“</w:t>
      </w:r>
      <w:r w:rsidRPr="00716193">
        <w:rPr>
          <w:spacing w:val="-2"/>
        </w:rPr>
        <w:t xml:space="preserve"> ЕАД за съответния период – приходи от продажби, разходи за дейността, активи и пасиви, финансов резултат и управление на риска.</w:t>
      </w:r>
      <w:r w:rsidRPr="00716193">
        <w:rPr>
          <w:spacing w:val="-2"/>
          <w:lang w:val="en-US"/>
        </w:rPr>
        <w:t xml:space="preserve"> </w:t>
      </w:r>
      <w:r w:rsidRPr="00716193">
        <w:rPr>
          <w:spacing w:val="-2"/>
        </w:rPr>
        <w:t>Резултатите от дейността за отчетната година са с</w:t>
      </w:r>
      <w:r w:rsidRPr="00716193">
        <w:t>ъпоставени с резултатите от предходната, като са представени и тенденции за следващата година.</w:t>
      </w:r>
    </w:p>
    <w:p w:rsidR="004F4CBD" w:rsidRPr="00716193" w:rsidRDefault="004F4CBD" w:rsidP="004F4CBD">
      <w:pPr>
        <w:pStyle w:val="FootnoteText"/>
        <w:jc w:val="both"/>
        <w:rPr>
          <w:sz w:val="24"/>
          <w:szCs w:val="24"/>
        </w:rPr>
      </w:pPr>
      <w:r w:rsidRPr="00716193">
        <w:rPr>
          <w:sz w:val="24"/>
          <w:szCs w:val="24"/>
        </w:rPr>
        <w:tab/>
        <w:t>Представените отчети не съдържат информация за резултатите от изпълнението на бизнес програма на дружеството</w:t>
      </w:r>
      <w:r w:rsidRPr="00716193">
        <w:rPr>
          <w:rStyle w:val="FootnoteReference"/>
          <w:sz w:val="24"/>
          <w:szCs w:val="24"/>
        </w:rPr>
        <w:footnoteReference w:id="61"/>
      </w:r>
      <w:r w:rsidRPr="00716193">
        <w:rPr>
          <w:sz w:val="24"/>
          <w:szCs w:val="24"/>
        </w:rPr>
        <w:t>, за съществуващите проблеми и мерки за тяхното решаване. Независимо от това, посредством докладите за дейността, се осигурява подпомагане на осъществявания мониторинг от едноличния собственик на капитала по отношение на управленски</w:t>
      </w:r>
      <w:r w:rsidR="007A44A8" w:rsidRPr="00716193">
        <w:rPr>
          <w:sz w:val="24"/>
          <w:szCs w:val="24"/>
        </w:rPr>
        <w:t>те решения, взети от СД</w:t>
      </w:r>
      <w:r w:rsidRPr="00716193">
        <w:rPr>
          <w:sz w:val="24"/>
          <w:szCs w:val="24"/>
        </w:rPr>
        <w:t xml:space="preserve"> на </w:t>
      </w:r>
      <w:r w:rsidR="008F0D28" w:rsidRPr="00716193">
        <w:rPr>
          <w:sz w:val="24"/>
          <w:szCs w:val="24"/>
        </w:rPr>
        <w:t>„</w:t>
      </w:r>
      <w:r w:rsidRPr="00716193">
        <w:rPr>
          <w:sz w:val="24"/>
          <w:szCs w:val="24"/>
        </w:rPr>
        <w:t>НСБ</w:t>
      </w:r>
      <w:r w:rsidR="008F0D28" w:rsidRPr="00716193">
        <w:rPr>
          <w:sz w:val="24"/>
          <w:szCs w:val="24"/>
        </w:rPr>
        <w:t>“</w:t>
      </w:r>
      <w:r w:rsidRPr="00716193">
        <w:rPr>
          <w:sz w:val="24"/>
          <w:szCs w:val="24"/>
        </w:rPr>
        <w:t xml:space="preserve"> ЕАД.</w:t>
      </w:r>
    </w:p>
    <w:p w:rsidR="004F4CBD" w:rsidRPr="00716193" w:rsidRDefault="004F4CBD" w:rsidP="004F4CBD">
      <w:pPr>
        <w:tabs>
          <w:tab w:val="left" w:pos="0"/>
        </w:tabs>
        <w:ind w:firstLine="709"/>
        <w:jc w:val="both"/>
      </w:pPr>
    </w:p>
    <w:p w:rsidR="004F4CBD" w:rsidRPr="00716193" w:rsidRDefault="004F4CBD" w:rsidP="004F4CBD">
      <w:pPr>
        <w:tabs>
          <w:tab w:val="left" w:pos="0"/>
        </w:tabs>
        <w:ind w:firstLine="709"/>
        <w:jc w:val="both"/>
        <w:rPr>
          <w:rFonts w:eastAsia="Calibri"/>
          <w:i/>
          <w:lang w:eastAsia="en-US"/>
        </w:rPr>
      </w:pPr>
      <w:r w:rsidRPr="00716193">
        <w:rPr>
          <w:i/>
        </w:rPr>
        <w:t xml:space="preserve">Отчетността за работата на Съвета на директорите </w:t>
      </w:r>
      <w:r w:rsidR="00CA2A98" w:rsidRPr="00716193">
        <w:rPr>
          <w:i/>
        </w:rPr>
        <w:t xml:space="preserve">по отношение на финансовото и икономическото състояние на дружеството </w:t>
      </w:r>
      <w:r w:rsidRPr="00716193">
        <w:rPr>
          <w:i/>
        </w:rPr>
        <w:t xml:space="preserve">е извършвана в съответствие с </w:t>
      </w:r>
      <w:r w:rsidRPr="00716193">
        <w:rPr>
          <w:rFonts w:eastAsia="Calibri"/>
          <w:i/>
          <w:lang w:eastAsia="en-US"/>
        </w:rPr>
        <w:t>ПРУПДТДДУК и договорите за възлагане управлението на дружеството</w:t>
      </w:r>
      <w:r w:rsidR="00CA2A98" w:rsidRPr="00716193">
        <w:rPr>
          <w:rFonts w:eastAsia="Calibri"/>
          <w:i/>
          <w:lang w:eastAsia="en-US"/>
        </w:rPr>
        <w:t>. Не е осигурено пълно съответствие с нормативните</w:t>
      </w:r>
      <w:r w:rsidR="007C653E" w:rsidRPr="00716193">
        <w:rPr>
          <w:rFonts w:eastAsia="Calibri"/>
          <w:i/>
          <w:lang w:eastAsia="en-US"/>
        </w:rPr>
        <w:t xml:space="preserve"> изискванията </w:t>
      </w:r>
      <w:r w:rsidR="00CA2A98" w:rsidRPr="00716193">
        <w:rPr>
          <w:rFonts w:eastAsia="Calibri"/>
          <w:i/>
          <w:lang w:eastAsia="en-US"/>
        </w:rPr>
        <w:t xml:space="preserve">на </w:t>
      </w:r>
      <w:r w:rsidR="007C653E" w:rsidRPr="00716193">
        <w:rPr>
          <w:rFonts w:eastAsia="Calibri"/>
          <w:i/>
          <w:lang w:eastAsia="en-US"/>
        </w:rPr>
        <w:t>съдържанието на писмените отчети</w:t>
      </w:r>
      <w:r w:rsidRPr="00716193">
        <w:rPr>
          <w:rFonts w:eastAsia="Calibri"/>
          <w:i/>
          <w:lang w:eastAsia="en-US"/>
        </w:rPr>
        <w:t>.</w:t>
      </w:r>
    </w:p>
    <w:p w:rsidR="000C5128" w:rsidRDefault="000C5128" w:rsidP="004F4CBD">
      <w:pPr>
        <w:tabs>
          <w:tab w:val="left" w:pos="0"/>
        </w:tabs>
        <w:ind w:firstLine="709"/>
        <w:jc w:val="both"/>
        <w:rPr>
          <w:rFonts w:eastAsia="Calibri"/>
          <w:i/>
          <w:lang w:eastAsia="en-US"/>
        </w:rPr>
      </w:pPr>
    </w:p>
    <w:p w:rsidR="000C5128" w:rsidRDefault="000C5128" w:rsidP="004F4CBD">
      <w:pPr>
        <w:tabs>
          <w:tab w:val="left" w:pos="0"/>
        </w:tabs>
        <w:ind w:firstLine="709"/>
        <w:jc w:val="both"/>
        <w:rPr>
          <w:rFonts w:eastAsia="Calibri"/>
          <w:i/>
          <w:lang w:eastAsia="en-US"/>
        </w:rPr>
      </w:pPr>
    </w:p>
    <w:p w:rsidR="000C5128" w:rsidRDefault="000C5128" w:rsidP="004F4CBD">
      <w:pPr>
        <w:tabs>
          <w:tab w:val="left" w:pos="0"/>
        </w:tabs>
        <w:ind w:firstLine="709"/>
        <w:jc w:val="both"/>
        <w:rPr>
          <w:rFonts w:eastAsia="Calibri"/>
          <w:i/>
          <w:lang w:eastAsia="en-US"/>
        </w:rPr>
      </w:pPr>
    </w:p>
    <w:p w:rsidR="000C5128" w:rsidRPr="00716193" w:rsidRDefault="000C5128" w:rsidP="004F4CBD">
      <w:pPr>
        <w:tabs>
          <w:tab w:val="left" w:pos="0"/>
        </w:tabs>
        <w:ind w:firstLine="709"/>
        <w:jc w:val="both"/>
        <w:rPr>
          <w:rFonts w:eastAsia="Calibri"/>
          <w:i/>
          <w:lang w:eastAsia="en-US"/>
        </w:rPr>
      </w:pPr>
    </w:p>
    <w:p w:rsidR="004F4CBD" w:rsidRPr="00716193" w:rsidRDefault="004F4CBD" w:rsidP="004F4CBD">
      <w:pPr>
        <w:tabs>
          <w:tab w:val="left" w:pos="0"/>
        </w:tabs>
        <w:ind w:firstLine="709"/>
        <w:jc w:val="both"/>
        <w:rPr>
          <w:b/>
        </w:rPr>
      </w:pPr>
      <w:r w:rsidRPr="00716193">
        <w:rPr>
          <w:rFonts w:eastAsia="Calibri"/>
          <w:b/>
          <w:lang w:eastAsia="en-US"/>
        </w:rPr>
        <w:lastRenderedPageBreak/>
        <w:t>1.8.</w:t>
      </w:r>
      <w:r w:rsidRPr="00716193">
        <w:rPr>
          <w:rFonts w:eastAsia="Calibri"/>
          <w:lang w:eastAsia="en-US"/>
        </w:rPr>
        <w:t xml:space="preserve"> </w:t>
      </w:r>
      <w:r w:rsidRPr="00716193">
        <w:rPr>
          <w:b/>
        </w:rPr>
        <w:t>Възлагане на един от членовете на СД да представлява и управлява дружеството</w:t>
      </w:r>
    </w:p>
    <w:p w:rsidR="004F4CBD" w:rsidRPr="00716193" w:rsidRDefault="004F4CBD" w:rsidP="004F4CBD">
      <w:pPr>
        <w:jc w:val="both"/>
      </w:pPr>
      <w:r w:rsidRPr="00716193">
        <w:rPr>
          <w:rFonts w:eastAsia="Calibri"/>
          <w:lang w:eastAsia="en-US"/>
        </w:rPr>
        <w:tab/>
        <w:t xml:space="preserve">Съгласно чл. 244, ал. 4 от ТЗ и чл. 15 и чл. 18, ал. </w:t>
      </w:r>
      <w:r w:rsidR="00E91453" w:rsidRPr="00716193">
        <w:rPr>
          <w:rFonts w:eastAsia="Calibri"/>
          <w:lang w:eastAsia="en-US"/>
        </w:rPr>
        <w:t>1, т. 2 от Устава</w:t>
      </w:r>
      <w:r w:rsidRPr="00716193">
        <w:rPr>
          <w:rFonts w:eastAsia="Calibri"/>
          <w:lang w:eastAsia="en-US"/>
        </w:rPr>
        <w:t>,</w:t>
      </w:r>
      <w:r w:rsidRPr="00716193">
        <w:rPr>
          <w:rFonts w:eastAsia="Calibri"/>
          <w:b/>
          <w:lang w:eastAsia="en-US"/>
        </w:rPr>
        <w:t xml:space="preserve"> </w:t>
      </w:r>
      <w:r w:rsidRPr="00716193">
        <w:t>С</w:t>
      </w:r>
      <w:r w:rsidR="00E91453" w:rsidRPr="00716193">
        <w:t>Д</w:t>
      </w:r>
      <w:r w:rsidRPr="00716193">
        <w:t xml:space="preserve"> възлага управлението на дружеството на един от своите членове – изпълнителен директор да представлява и управлява дружеството в рамките на предоставените му компетенции. </w:t>
      </w:r>
    </w:p>
    <w:p w:rsidR="004F4CBD" w:rsidRPr="00716193" w:rsidRDefault="004F4CBD" w:rsidP="004F4CBD">
      <w:pPr>
        <w:jc w:val="both"/>
      </w:pPr>
      <w:r w:rsidRPr="00716193">
        <w:tab/>
        <w:t>Във връзка с това правомощие през одитирания период СД взема последователно четири решения за възлагане управлението на дружеството</w:t>
      </w:r>
      <w:r w:rsidR="00800FED" w:rsidRPr="00716193">
        <w:t>.</w:t>
      </w:r>
      <w:r w:rsidRPr="00716193">
        <w:t xml:space="preserve"> </w:t>
      </w:r>
      <w:r w:rsidR="00DE75D4" w:rsidRPr="00716193">
        <w:t>Р</w:t>
      </w:r>
      <w:r w:rsidRPr="00716193">
        <w:t>ешенията са документално обосновани с протоколи, с</w:t>
      </w:r>
      <w:r w:rsidR="007F26CE" w:rsidRPr="00716193">
        <w:t>ъгласно</w:t>
      </w:r>
      <w:r w:rsidRPr="00716193">
        <w:t xml:space="preserve"> правилата за работа на </w:t>
      </w:r>
      <w:r w:rsidRPr="00716193">
        <w:rPr>
          <w:rFonts w:eastAsia="Calibri"/>
          <w:lang w:eastAsia="en-US"/>
        </w:rPr>
        <w:t>Съвета на директорите</w:t>
      </w:r>
      <w:r w:rsidR="00C71EBE" w:rsidRPr="00716193">
        <w:t>.</w:t>
      </w:r>
      <w:r w:rsidRPr="00716193">
        <w:rPr>
          <w:rStyle w:val="FootnoteReference"/>
        </w:rPr>
        <w:footnoteReference w:id="62"/>
      </w:r>
    </w:p>
    <w:p w:rsidR="004F4CBD" w:rsidRPr="00716193" w:rsidRDefault="004F4CBD" w:rsidP="004F4CBD">
      <w:pPr>
        <w:jc w:val="both"/>
      </w:pPr>
      <w:r w:rsidRPr="00716193">
        <w:tab/>
        <w:t xml:space="preserve">В един от случаите, поради невъзможност от страна на изпълнителния директор да изпълнява задълженията си, СД е определил измежду членовете си заместник, </w:t>
      </w:r>
      <w:r w:rsidR="00C71EBE" w:rsidRPr="00716193">
        <w:t>в съответствие</w:t>
      </w:r>
      <w:r w:rsidRPr="00716193">
        <w:t xml:space="preserve"> с чл. 16 от Устава на дружеството.</w:t>
      </w:r>
      <w:r w:rsidRPr="00716193">
        <w:rPr>
          <w:rStyle w:val="FootnoteReference"/>
        </w:rPr>
        <w:footnoteReference w:id="63"/>
      </w:r>
    </w:p>
    <w:p w:rsidR="004F4CBD" w:rsidRPr="00716193" w:rsidRDefault="004F4CBD" w:rsidP="004F4CBD">
      <w:pPr>
        <w:jc w:val="both"/>
      </w:pPr>
      <w:r w:rsidRPr="00716193">
        <w:rPr>
          <w:b/>
        </w:rPr>
        <w:tab/>
      </w:r>
      <w:r w:rsidRPr="00716193">
        <w:t>В резултат на взетите решения от СД, през одитирания период действат п</w:t>
      </w:r>
      <w:r w:rsidR="00C71EBE" w:rsidRPr="00716193">
        <w:t xml:space="preserve">оследователно три договора за овластяване и възлагане управлението и представителството на изпълнителен член на СД на „НСБ“ ЕАД, сключени </w:t>
      </w:r>
      <w:r w:rsidR="00800FED" w:rsidRPr="00716193">
        <w:t>на основание</w:t>
      </w:r>
      <w:r w:rsidRPr="00716193">
        <w:t xml:space="preserve"> чл. 244, ал. 7 от ТЗ.</w:t>
      </w:r>
      <w:r w:rsidRPr="00716193">
        <w:rPr>
          <w:rStyle w:val="FootnoteReference"/>
        </w:rPr>
        <w:footnoteReference w:id="64"/>
      </w:r>
      <w:r w:rsidRPr="00716193">
        <w:t xml:space="preserve"> </w:t>
      </w:r>
    </w:p>
    <w:p w:rsidR="004F4CBD" w:rsidRPr="00716193" w:rsidRDefault="004F4CBD" w:rsidP="004F4CBD">
      <w:pPr>
        <w:jc w:val="both"/>
        <w:rPr>
          <w:b/>
        </w:rPr>
      </w:pPr>
      <w:r w:rsidRPr="00716193">
        <w:rPr>
          <w:b/>
        </w:rPr>
        <w:tab/>
      </w:r>
    </w:p>
    <w:p w:rsidR="004F4CBD" w:rsidRPr="00716193" w:rsidRDefault="004F4CBD" w:rsidP="004F4CBD">
      <w:pPr>
        <w:jc w:val="both"/>
        <w:rPr>
          <w:rFonts w:eastAsia="Calibri"/>
          <w:i/>
          <w:lang w:eastAsia="en-US"/>
        </w:rPr>
      </w:pPr>
      <w:r w:rsidRPr="00716193">
        <w:rPr>
          <w:b/>
        </w:rPr>
        <w:tab/>
      </w:r>
      <w:r w:rsidRPr="00716193">
        <w:rPr>
          <w:i/>
        </w:rPr>
        <w:t xml:space="preserve">Възлагането на един от членовете на СД да представлява и управлява </w:t>
      </w:r>
      <w:r w:rsidR="00F21F80" w:rsidRPr="00716193">
        <w:rPr>
          <w:i/>
        </w:rPr>
        <w:t>„</w:t>
      </w:r>
      <w:r w:rsidRPr="00716193">
        <w:rPr>
          <w:i/>
        </w:rPr>
        <w:t>НСБ</w:t>
      </w:r>
      <w:r w:rsidR="00F21F80" w:rsidRPr="00716193">
        <w:rPr>
          <w:i/>
        </w:rPr>
        <w:t>“</w:t>
      </w:r>
      <w:r w:rsidRPr="00716193">
        <w:rPr>
          <w:i/>
        </w:rPr>
        <w:t xml:space="preserve"> ЕАД през одитирания период </w:t>
      </w:r>
      <w:r w:rsidR="00BE1E39" w:rsidRPr="00716193">
        <w:rPr>
          <w:i/>
        </w:rPr>
        <w:t>е извършено</w:t>
      </w:r>
      <w:r w:rsidRPr="00716193">
        <w:rPr>
          <w:i/>
        </w:rPr>
        <w:t xml:space="preserve"> </w:t>
      </w:r>
      <w:r w:rsidR="00C71EBE" w:rsidRPr="00716193">
        <w:rPr>
          <w:i/>
        </w:rPr>
        <w:t>в съответствие</w:t>
      </w:r>
      <w:r w:rsidRPr="00716193">
        <w:rPr>
          <w:i/>
        </w:rPr>
        <w:t xml:space="preserve"> с Търговския закон и Устава на дружеството.</w:t>
      </w:r>
    </w:p>
    <w:p w:rsidR="004F4CBD" w:rsidRPr="00716193" w:rsidRDefault="004F4CBD" w:rsidP="004F4CBD">
      <w:pPr>
        <w:spacing w:before="240"/>
        <w:jc w:val="both"/>
        <w:rPr>
          <w:b/>
        </w:rPr>
      </w:pPr>
      <w:r w:rsidRPr="00716193">
        <w:rPr>
          <w:b/>
        </w:rPr>
        <w:tab/>
        <w:t>1.9. Определяне структурата на управление и организация на дружеството</w:t>
      </w:r>
    </w:p>
    <w:p w:rsidR="004F4CBD" w:rsidRPr="00716193" w:rsidRDefault="004F4CBD" w:rsidP="004F4CBD">
      <w:pPr>
        <w:jc w:val="both"/>
      </w:pPr>
      <w:r w:rsidRPr="00716193">
        <w:tab/>
        <w:t xml:space="preserve">С чл. 18, ал. 1, т. 4 от Устава на </w:t>
      </w:r>
      <w:r w:rsidR="00F14FDB" w:rsidRPr="00716193">
        <w:t>дружеството</w:t>
      </w:r>
      <w:r w:rsidRPr="00716193">
        <w:t>, правилата</w:t>
      </w:r>
      <w:r w:rsidRPr="00716193">
        <w:rPr>
          <w:rStyle w:val="FootnoteReference"/>
        </w:rPr>
        <w:footnoteReference w:id="65"/>
      </w:r>
      <w:r w:rsidRPr="00716193">
        <w:t xml:space="preserve"> за</w:t>
      </w:r>
      <w:r w:rsidR="00F14FDB" w:rsidRPr="00716193">
        <w:t xml:space="preserve"> работа на СД</w:t>
      </w:r>
      <w:r w:rsidRPr="00716193">
        <w:t xml:space="preserve"> и договорите за възла</w:t>
      </w:r>
      <w:r w:rsidR="00330AC5" w:rsidRPr="00716193">
        <w:t>гане управлението</w:t>
      </w:r>
      <w:r w:rsidRPr="00716193">
        <w:t xml:space="preserve"> е определено пра</w:t>
      </w:r>
      <w:r w:rsidR="00F14FDB" w:rsidRPr="00716193">
        <w:t>вомощие на СД</w:t>
      </w:r>
      <w:r w:rsidRPr="00716193">
        <w:t xml:space="preserve"> да определя структурата на управление и организация на дружеството.</w:t>
      </w:r>
    </w:p>
    <w:p w:rsidR="004F4CBD" w:rsidRPr="00716193" w:rsidRDefault="004F4CBD" w:rsidP="004F4CBD">
      <w:pPr>
        <w:jc w:val="both"/>
        <w:rPr>
          <w:b/>
        </w:rPr>
      </w:pPr>
      <w:r w:rsidRPr="00716193">
        <w:rPr>
          <w:b/>
        </w:rPr>
        <w:tab/>
      </w:r>
      <w:r w:rsidRPr="00716193">
        <w:t>Извършени са</w:t>
      </w:r>
      <w:r w:rsidRPr="00716193">
        <w:rPr>
          <w:b/>
        </w:rPr>
        <w:t xml:space="preserve"> </w:t>
      </w:r>
      <w:r w:rsidRPr="00716193">
        <w:t>общо 20</w:t>
      </w:r>
      <w:r w:rsidRPr="00716193">
        <w:rPr>
          <w:rFonts w:eastAsia="Calibri"/>
          <w:lang w:eastAsia="en-US"/>
        </w:rPr>
        <w:t xml:space="preserve"> промени</w:t>
      </w:r>
      <w:r w:rsidR="00D94A3A" w:rsidRPr="00716193">
        <w:rPr>
          <w:rFonts w:eastAsia="Calibri"/>
          <w:lang w:eastAsia="en-US"/>
        </w:rPr>
        <w:t>, 4 от които</w:t>
      </w:r>
      <w:r w:rsidRPr="00716193">
        <w:rPr>
          <w:rFonts w:eastAsia="Calibri"/>
          <w:lang w:eastAsia="en-US"/>
        </w:rPr>
        <w:t xml:space="preserve"> в </w:t>
      </w:r>
      <w:r w:rsidR="00D94A3A" w:rsidRPr="00716193">
        <w:rPr>
          <w:rFonts w:eastAsia="Calibri"/>
          <w:lang w:eastAsia="en-US"/>
        </w:rPr>
        <w:t xml:space="preserve">организационната </w:t>
      </w:r>
      <w:r w:rsidRPr="00716193">
        <w:rPr>
          <w:rFonts w:eastAsia="Calibri"/>
          <w:lang w:eastAsia="en-US"/>
        </w:rPr>
        <w:t xml:space="preserve">структура и </w:t>
      </w:r>
      <w:r w:rsidR="00D94A3A" w:rsidRPr="00716193">
        <w:rPr>
          <w:rFonts w:eastAsia="Calibri"/>
          <w:lang w:eastAsia="en-US"/>
        </w:rPr>
        <w:t xml:space="preserve">16 в </w:t>
      </w:r>
      <w:r w:rsidRPr="00716193">
        <w:rPr>
          <w:rFonts w:eastAsia="Calibri"/>
          <w:lang w:eastAsia="en-US"/>
        </w:rPr>
        <w:t>щатното разписан</w:t>
      </w:r>
      <w:r w:rsidR="00D94A3A" w:rsidRPr="00716193">
        <w:rPr>
          <w:rFonts w:eastAsia="Calibri"/>
          <w:lang w:eastAsia="en-US"/>
        </w:rPr>
        <w:t>ие на длъжностите в дружеството. Извършените промени са в</w:t>
      </w:r>
      <w:r w:rsidRPr="00716193">
        <w:rPr>
          <w:rFonts w:eastAsia="Calibri"/>
          <w:lang w:eastAsia="en-US"/>
        </w:rPr>
        <w:t xml:space="preserve"> резултат на взети общо 14 решения от СД през одитирания период. Решенията са обективирани в протоколи, в съответствие с правилата за</w:t>
      </w:r>
      <w:r w:rsidR="00330AC5" w:rsidRPr="00716193">
        <w:rPr>
          <w:rFonts w:eastAsia="Calibri"/>
          <w:lang w:eastAsia="en-US"/>
        </w:rPr>
        <w:t xml:space="preserve"> работа на СД</w:t>
      </w:r>
      <w:r w:rsidRPr="00716193">
        <w:rPr>
          <w:rFonts w:eastAsia="Calibri"/>
          <w:lang w:eastAsia="en-US"/>
        </w:rPr>
        <w:t>.</w:t>
      </w:r>
      <w:r w:rsidRPr="00716193">
        <w:rPr>
          <w:rStyle w:val="FootnoteReference"/>
          <w:rFonts w:eastAsia="Calibri"/>
          <w:lang w:eastAsia="en-US"/>
        </w:rPr>
        <w:footnoteReference w:id="66"/>
      </w:r>
    </w:p>
    <w:p w:rsidR="00962CEB" w:rsidRPr="00716193" w:rsidRDefault="004F4CBD" w:rsidP="00DE75D4">
      <w:pPr>
        <w:jc w:val="both"/>
        <w:rPr>
          <w:b/>
        </w:rPr>
      </w:pPr>
      <w:r w:rsidRPr="00716193">
        <w:rPr>
          <w:b/>
        </w:rPr>
        <w:tab/>
      </w:r>
      <w:r w:rsidRPr="00716193">
        <w:t>Установ</w:t>
      </w:r>
      <w:r w:rsidR="002D45DE" w:rsidRPr="00716193">
        <w:t>ено</w:t>
      </w:r>
      <w:r w:rsidRPr="00716193">
        <w:t xml:space="preserve"> е</w:t>
      </w:r>
      <w:r w:rsidR="000B0931" w:rsidRPr="00716193">
        <w:rPr>
          <w:rStyle w:val="FootnoteReference"/>
        </w:rPr>
        <w:footnoteReference w:id="67"/>
      </w:r>
      <w:r w:rsidRPr="00716193">
        <w:t>, че</w:t>
      </w:r>
      <w:r w:rsidR="00B55E28" w:rsidRPr="00716193">
        <w:t xml:space="preserve"> </w:t>
      </w:r>
      <w:r w:rsidR="00B61E0A" w:rsidRPr="00716193">
        <w:t>са</w:t>
      </w:r>
      <w:r w:rsidRPr="00716193">
        <w:t xml:space="preserve"> извършени две промени в щатното разписание на длъжностите без взети решения от СД</w:t>
      </w:r>
      <w:r w:rsidR="000B0931" w:rsidRPr="00716193">
        <w:t>, а по отношение на</w:t>
      </w:r>
      <w:r w:rsidRPr="00716193">
        <w:rPr>
          <w:color w:val="000000"/>
        </w:rPr>
        <w:t xml:space="preserve"> четири</w:t>
      </w:r>
      <w:r w:rsidR="000B0931" w:rsidRPr="00716193">
        <w:rPr>
          <w:color w:val="000000"/>
        </w:rPr>
        <w:t>те</w:t>
      </w:r>
      <w:r w:rsidRPr="00716193">
        <w:rPr>
          <w:color w:val="000000"/>
        </w:rPr>
        <w:t xml:space="preserve"> промени в организационната структура на дружеството, </w:t>
      </w:r>
      <w:r w:rsidR="000B0931" w:rsidRPr="00716193">
        <w:rPr>
          <w:color w:val="000000"/>
        </w:rPr>
        <w:t>за</w:t>
      </w:r>
      <w:r w:rsidRPr="00716193">
        <w:rPr>
          <w:color w:val="000000"/>
        </w:rPr>
        <w:t xml:space="preserve"> две от тях няма изготвени органиграми, а </w:t>
      </w:r>
      <w:r w:rsidR="009939D1" w:rsidRPr="00716193">
        <w:rPr>
          <w:color w:val="000000"/>
        </w:rPr>
        <w:t xml:space="preserve">двете </w:t>
      </w:r>
      <w:r w:rsidRPr="00716193">
        <w:rPr>
          <w:color w:val="000000"/>
        </w:rPr>
        <w:t>изготвени</w:t>
      </w:r>
      <w:r w:rsidR="009939D1" w:rsidRPr="00716193">
        <w:rPr>
          <w:color w:val="000000"/>
        </w:rPr>
        <w:t xml:space="preserve"> такива</w:t>
      </w:r>
      <w:r w:rsidRPr="00716193">
        <w:rPr>
          <w:color w:val="000000"/>
        </w:rPr>
        <w:t xml:space="preserve"> не са утвърдени.  </w:t>
      </w:r>
    </w:p>
    <w:p w:rsidR="004F4CBD" w:rsidRPr="00716193" w:rsidRDefault="004F4CBD" w:rsidP="004F4CBD">
      <w:pPr>
        <w:tabs>
          <w:tab w:val="left" w:pos="0"/>
        </w:tabs>
        <w:ind w:firstLine="709"/>
        <w:jc w:val="both"/>
        <w:rPr>
          <w:spacing w:val="-2"/>
        </w:rPr>
      </w:pPr>
      <w:r w:rsidRPr="00716193">
        <w:rPr>
          <w:b/>
        </w:rPr>
        <w:t xml:space="preserve"> </w:t>
      </w:r>
      <w:r w:rsidRPr="00716193">
        <w:rPr>
          <w:spacing w:val="-2"/>
        </w:rPr>
        <w:t>Структурните звена (10 дирекции, два отдела и 12 обособени самостоятелни звена)</w:t>
      </w:r>
      <w:r w:rsidR="00C9481A" w:rsidRPr="00716193">
        <w:rPr>
          <w:spacing w:val="-2"/>
        </w:rPr>
        <w:t xml:space="preserve"> към края на одитирания период</w:t>
      </w:r>
      <w:r w:rsidRPr="00716193">
        <w:rPr>
          <w:spacing w:val="-2"/>
        </w:rPr>
        <w:t xml:space="preserve"> са изградени на функционален признак, в съответствие с дейността на дружеството. </w:t>
      </w:r>
      <w:r w:rsidR="00F21F80" w:rsidRPr="00716193">
        <w:rPr>
          <w:spacing w:val="-2"/>
        </w:rPr>
        <w:t>„</w:t>
      </w:r>
      <w:r w:rsidRPr="00716193">
        <w:rPr>
          <w:spacing w:val="-2"/>
        </w:rPr>
        <w:t>НСБ</w:t>
      </w:r>
      <w:r w:rsidR="00F21F80" w:rsidRPr="00716193">
        <w:rPr>
          <w:spacing w:val="-2"/>
        </w:rPr>
        <w:t>“</w:t>
      </w:r>
      <w:r w:rsidRPr="00716193">
        <w:rPr>
          <w:spacing w:val="-2"/>
        </w:rPr>
        <w:t xml:space="preserve"> ЕАД разполага с необходимия персонал, в т.ч. специалисти, и инфраструктура за изпълнение на дейността си.</w:t>
      </w:r>
      <w:r w:rsidRPr="00716193">
        <w:rPr>
          <w:rStyle w:val="FootnoteReference"/>
          <w:spacing w:val="-2"/>
        </w:rPr>
        <w:footnoteReference w:id="68"/>
      </w:r>
      <w:r w:rsidRPr="00716193">
        <w:rPr>
          <w:spacing w:val="-2"/>
        </w:rPr>
        <w:t xml:space="preserve"> </w:t>
      </w:r>
    </w:p>
    <w:p w:rsidR="004F4CBD" w:rsidRPr="00716193" w:rsidRDefault="004F4CBD" w:rsidP="004F4CBD">
      <w:pPr>
        <w:jc w:val="both"/>
      </w:pPr>
      <w:r w:rsidRPr="00716193">
        <w:tab/>
      </w:r>
      <w:r w:rsidR="003D2D05" w:rsidRPr="00716193">
        <w:rPr>
          <w:rStyle w:val="FontStyle116"/>
          <w:sz w:val="24"/>
          <w:szCs w:val="24"/>
        </w:rPr>
        <w:t xml:space="preserve">Приети са длъжностни характеристики за всички длъжности, включени в длъжностното разписание на дружеството. </w:t>
      </w:r>
      <w:r w:rsidRPr="00716193">
        <w:t>В личните досиета на служителите се съдържат утвърдени</w:t>
      </w:r>
      <w:r w:rsidR="003D2D05" w:rsidRPr="00716193">
        <w:t>те</w:t>
      </w:r>
      <w:r w:rsidRPr="00716193">
        <w:t xml:space="preserve"> длъжностни характеристики с дата и подпис на служителя.</w:t>
      </w:r>
      <w:r w:rsidRPr="00716193">
        <w:rPr>
          <w:rStyle w:val="FootnoteReference"/>
        </w:rPr>
        <w:footnoteReference w:id="69"/>
      </w:r>
    </w:p>
    <w:p w:rsidR="004F4CBD" w:rsidRPr="00716193" w:rsidRDefault="004F4CBD" w:rsidP="004F4CBD">
      <w:pPr>
        <w:tabs>
          <w:tab w:val="left" w:pos="0"/>
        </w:tabs>
        <w:ind w:firstLine="709"/>
        <w:jc w:val="both"/>
        <w:rPr>
          <w:spacing w:val="-2"/>
        </w:rPr>
      </w:pPr>
      <w:r w:rsidRPr="00716193">
        <w:rPr>
          <w:spacing w:val="-2"/>
        </w:rPr>
        <w:t xml:space="preserve">В резултат на извършените структурни промени, е налице оптимизиране на общата численост на персонала, като към 31.12.2013 г. е 303 </w:t>
      </w:r>
      <w:r w:rsidRPr="00716193">
        <w:t xml:space="preserve">щатни бройки, а към </w:t>
      </w:r>
      <w:r w:rsidRPr="00716193">
        <w:rPr>
          <w:spacing w:val="-2"/>
        </w:rPr>
        <w:t xml:space="preserve">31.12.2014 г. - 287 </w:t>
      </w:r>
      <w:r w:rsidRPr="00716193">
        <w:t>щатни бройки</w:t>
      </w:r>
      <w:r w:rsidRPr="00716193">
        <w:rPr>
          <w:spacing w:val="-2"/>
        </w:rPr>
        <w:t>.</w:t>
      </w:r>
      <w:r w:rsidRPr="00716193">
        <w:rPr>
          <w:rStyle w:val="FootnoteReference"/>
          <w:spacing w:val="-2"/>
        </w:rPr>
        <w:footnoteReference w:id="70"/>
      </w:r>
    </w:p>
    <w:p w:rsidR="004F4CBD" w:rsidRPr="00716193" w:rsidRDefault="004F4CBD" w:rsidP="004F4CBD">
      <w:pPr>
        <w:jc w:val="both"/>
      </w:pPr>
      <w:r w:rsidRPr="00716193">
        <w:rPr>
          <w:rFonts w:eastAsia="Calibri"/>
          <w:lang w:val="en-US" w:eastAsia="en-US"/>
        </w:rPr>
        <w:lastRenderedPageBreak/>
        <w:tab/>
      </w:r>
      <w:r w:rsidR="00C71EBE" w:rsidRPr="00716193">
        <w:rPr>
          <w:spacing w:val="-2"/>
        </w:rPr>
        <w:t>През одитирания период действат последователно два Правилника за устройството и дейността на „Национална спортна база“ ЕАД</w:t>
      </w:r>
      <w:r w:rsidR="00C71EBE" w:rsidRPr="00716193">
        <w:rPr>
          <w:rStyle w:val="FootnoteReference"/>
          <w:spacing w:val="-2"/>
        </w:rPr>
        <w:footnoteReference w:id="71"/>
      </w:r>
      <w:r w:rsidR="00C71EBE" w:rsidRPr="00716193">
        <w:rPr>
          <w:spacing w:val="-2"/>
        </w:rPr>
        <w:t>, като последният е в сила от 01.03.2013 г.</w:t>
      </w:r>
      <w:r w:rsidRPr="00716193">
        <w:t xml:space="preserve"> и съответства на организационната структура на дружеството, приета с решение на СД, отразено в протокол № 208 от 28.01.2013 г. След тази дата са извършени още три промени в организационната структура на </w:t>
      </w:r>
      <w:r w:rsidR="00F21F80" w:rsidRPr="00716193">
        <w:t>„</w:t>
      </w:r>
      <w:r w:rsidRPr="00716193">
        <w:t>НСБ</w:t>
      </w:r>
      <w:r w:rsidR="00F21F80" w:rsidRPr="00716193">
        <w:t>“</w:t>
      </w:r>
      <w:r w:rsidRPr="00716193">
        <w:t xml:space="preserve"> ЕАД, като </w:t>
      </w:r>
      <w:r w:rsidR="0005489D" w:rsidRPr="00716193">
        <w:t>П</w:t>
      </w:r>
      <w:r w:rsidRPr="00716193">
        <w:t xml:space="preserve">равилникът за устройството и дейността </w:t>
      </w:r>
      <w:r w:rsidR="00B55E28" w:rsidRPr="00716193">
        <w:t xml:space="preserve">на </w:t>
      </w:r>
      <w:r w:rsidR="00F21F80" w:rsidRPr="00716193">
        <w:t>„</w:t>
      </w:r>
      <w:r w:rsidR="00B55E28" w:rsidRPr="00716193">
        <w:t>НСБ</w:t>
      </w:r>
      <w:r w:rsidR="00F21F80" w:rsidRPr="00716193">
        <w:t>“</w:t>
      </w:r>
      <w:r w:rsidR="00B55E28" w:rsidRPr="00716193">
        <w:t xml:space="preserve"> ЕАД </w:t>
      </w:r>
      <w:r w:rsidRPr="00716193">
        <w:t>не е актуализиран.</w:t>
      </w:r>
      <w:r w:rsidRPr="00716193">
        <w:rPr>
          <w:rStyle w:val="FootnoteReference"/>
        </w:rPr>
        <w:footnoteReference w:id="72"/>
      </w:r>
    </w:p>
    <w:p w:rsidR="004F4CBD" w:rsidRPr="00716193" w:rsidRDefault="004F4CBD" w:rsidP="004F4CBD">
      <w:pPr>
        <w:jc w:val="both"/>
      </w:pPr>
      <w:r w:rsidRPr="00716193">
        <w:tab/>
        <w:t xml:space="preserve">През одитирания период </w:t>
      </w:r>
      <w:r w:rsidR="00330AC5" w:rsidRPr="00716193">
        <w:t>действат и други вътрешни документи</w:t>
      </w:r>
      <w:r w:rsidRPr="00716193">
        <w:t xml:space="preserve">, с които са регламентирани дейности във връзка с управлението на дружеството </w:t>
      </w:r>
      <w:r w:rsidR="00F71E99" w:rsidRPr="00716193">
        <w:t>–</w:t>
      </w:r>
      <w:r w:rsidRPr="00716193">
        <w:t xml:space="preserve"> </w:t>
      </w:r>
      <w:r w:rsidR="00F71E99" w:rsidRPr="00716193">
        <w:t>„</w:t>
      </w:r>
      <w:r w:rsidRPr="00716193">
        <w:t>Правила за работа на Съвета на директорите на „Национална спортна база“ ЕАД</w:t>
      </w:r>
      <w:r w:rsidR="00F71E99" w:rsidRPr="00716193">
        <w:t>“</w:t>
      </w:r>
      <w:r w:rsidRPr="00716193">
        <w:rPr>
          <w:rStyle w:val="FootnoteReference"/>
        </w:rPr>
        <w:footnoteReference w:id="73"/>
      </w:r>
      <w:r w:rsidRPr="00716193">
        <w:t xml:space="preserve">, </w:t>
      </w:r>
      <w:r w:rsidR="00F71E99" w:rsidRPr="00716193">
        <w:t>„</w:t>
      </w:r>
      <w:r w:rsidRPr="00716193">
        <w:t>Правилник за вътрешния трудов ред</w:t>
      </w:r>
      <w:r w:rsidR="00F71E99" w:rsidRPr="00716193">
        <w:t>“</w:t>
      </w:r>
      <w:r w:rsidR="00F71E99" w:rsidRPr="00716193">
        <w:rPr>
          <w:rStyle w:val="FootnoteReference"/>
        </w:rPr>
        <w:t xml:space="preserve"> </w:t>
      </w:r>
      <w:r w:rsidR="00F71E99" w:rsidRPr="00716193">
        <w:rPr>
          <w:rStyle w:val="FootnoteReference"/>
        </w:rPr>
        <w:footnoteReference w:id="74"/>
      </w:r>
      <w:r w:rsidRPr="00716193">
        <w:t xml:space="preserve">, регламентиращ правата и задълженията на работодателя, както и на работниците и служителите в </w:t>
      </w:r>
      <w:r w:rsidR="00F21F80" w:rsidRPr="00716193">
        <w:t>„</w:t>
      </w:r>
      <w:r w:rsidRPr="00716193">
        <w:t>НСБ</w:t>
      </w:r>
      <w:r w:rsidR="00F21F80" w:rsidRPr="00716193">
        <w:t>“</w:t>
      </w:r>
      <w:r w:rsidRPr="00716193">
        <w:t xml:space="preserve"> ЕАД, </w:t>
      </w:r>
      <w:r w:rsidR="00F71E99" w:rsidRPr="00716193">
        <w:t>„</w:t>
      </w:r>
      <w:r w:rsidRPr="00716193">
        <w:t>Вътрешни правила за организация на работната заплата в „Национална спортна база“ ЕАД</w:t>
      </w:r>
      <w:r w:rsidR="00F71E99" w:rsidRPr="00716193">
        <w:t>“</w:t>
      </w:r>
      <w:r w:rsidRPr="00716193">
        <w:rPr>
          <w:rStyle w:val="FootnoteReference"/>
        </w:rPr>
        <w:footnoteReference w:id="75"/>
      </w:r>
      <w:r w:rsidRPr="00716193">
        <w:t xml:space="preserve">, </w:t>
      </w:r>
      <w:r w:rsidR="00F71E99" w:rsidRPr="00716193">
        <w:t>„</w:t>
      </w:r>
      <w:r w:rsidRPr="00716193">
        <w:t>Вътрешни правила, изграждащи СФУК в „НСБ“ ЕАД</w:t>
      </w:r>
      <w:r w:rsidR="00F71E99" w:rsidRPr="00716193">
        <w:t>“</w:t>
      </w:r>
      <w:r w:rsidR="00330AC5" w:rsidRPr="00716193">
        <w:rPr>
          <w:rStyle w:val="FootnoteReference"/>
        </w:rPr>
        <w:footnoteReference w:id="76"/>
      </w:r>
      <w:r w:rsidRPr="00716193">
        <w:t>, и други.</w:t>
      </w:r>
    </w:p>
    <w:p w:rsidR="004F4CBD" w:rsidRPr="00716193" w:rsidRDefault="004F4CBD" w:rsidP="004F4CBD">
      <w:pPr>
        <w:jc w:val="both"/>
      </w:pPr>
      <w:r w:rsidRPr="00716193">
        <w:tab/>
        <w:t>Установ</w:t>
      </w:r>
      <w:r w:rsidR="0045700F" w:rsidRPr="00716193">
        <w:t>ено</w:t>
      </w:r>
      <w:r w:rsidRPr="00716193">
        <w:t xml:space="preserve"> е, че през по-голямата част от одитирания период в дружеството няма назначен финансов контрольор, </w:t>
      </w:r>
      <w:r w:rsidR="00097228" w:rsidRPr="00716193">
        <w:t xml:space="preserve">независимо, че е предвидена щатна бройка в утвърдените щатни разписания на длъжностите, </w:t>
      </w:r>
      <w:r w:rsidR="00621BAE" w:rsidRPr="00716193">
        <w:t xml:space="preserve">и не са налице данни за осъществяван предварителен контрол от назначения през периода финансов контрольор, </w:t>
      </w:r>
      <w:r w:rsidRPr="00716193">
        <w:t>което обуславя риск от незаконосъобразност при поемането на задължения и извършв</w:t>
      </w:r>
      <w:r w:rsidR="002F6CF8" w:rsidRPr="00716193">
        <w:t>ането на разходи</w:t>
      </w:r>
      <w:r w:rsidR="00CF280E" w:rsidRPr="00716193">
        <w:t>.</w:t>
      </w:r>
      <w:r w:rsidRPr="00716193">
        <w:rPr>
          <w:rStyle w:val="FootnoteReference"/>
        </w:rPr>
        <w:footnoteReference w:id="77"/>
      </w:r>
      <w:r w:rsidR="002F6CF8" w:rsidRPr="00716193">
        <w:t xml:space="preserve"> В</w:t>
      </w:r>
      <w:r w:rsidR="00CE2F5A" w:rsidRPr="00716193">
        <w:t xml:space="preserve"> щатно</w:t>
      </w:r>
      <w:r w:rsidR="002F6CF8" w:rsidRPr="00716193">
        <w:t>то</w:t>
      </w:r>
      <w:r w:rsidR="00CE2F5A" w:rsidRPr="00716193">
        <w:t xml:space="preserve"> разписание на длъжностите</w:t>
      </w:r>
      <w:r w:rsidR="002F6CF8" w:rsidRPr="00716193">
        <w:t>, действащо</w:t>
      </w:r>
      <w:r w:rsidR="00CE2F5A" w:rsidRPr="00716193">
        <w:t xml:space="preserve"> към края на одитирания период</w:t>
      </w:r>
      <w:r w:rsidR="002F6CF8" w:rsidRPr="00716193">
        <w:t>,</w:t>
      </w:r>
      <w:r w:rsidR="00CE2F5A" w:rsidRPr="00716193">
        <w:t xml:space="preserve"> не е предвидена щатн</w:t>
      </w:r>
      <w:r w:rsidR="00076F0C" w:rsidRPr="00716193">
        <w:t>а бройка за финансов контрольор,</w:t>
      </w:r>
      <w:r w:rsidR="00CE2F5A" w:rsidRPr="00716193">
        <w:rPr>
          <w:rStyle w:val="FootnoteReference"/>
        </w:rPr>
        <w:footnoteReference w:id="78"/>
      </w:r>
      <w:r w:rsidR="00076F0C" w:rsidRPr="00716193">
        <w:t xml:space="preserve"> но с</w:t>
      </w:r>
      <w:r w:rsidR="0086794C" w:rsidRPr="00716193">
        <w:t xml:space="preserve"> утвърдени вътрешни актове са определени конкретни длъжностни лица да осъществяват предварителен контрол в различни области от дейността на дружеството.</w:t>
      </w:r>
      <w:r w:rsidR="0086794C" w:rsidRPr="00716193">
        <w:rPr>
          <w:rStyle w:val="FootnoteReference"/>
        </w:rPr>
        <w:footnoteReference w:id="79"/>
      </w:r>
    </w:p>
    <w:p w:rsidR="004F4CBD" w:rsidRPr="00716193" w:rsidRDefault="004F4CBD" w:rsidP="004F4CBD">
      <w:pPr>
        <w:jc w:val="both"/>
        <w:rPr>
          <w:rStyle w:val="FontStyle116"/>
          <w:sz w:val="24"/>
          <w:szCs w:val="24"/>
        </w:rPr>
      </w:pPr>
      <w:r w:rsidRPr="00716193">
        <w:tab/>
        <w:t xml:space="preserve">През одитирания период няма действащ </w:t>
      </w:r>
      <w:r w:rsidR="00C70B2E" w:rsidRPr="00716193">
        <w:t>„</w:t>
      </w:r>
      <w:r w:rsidRPr="00716193">
        <w:t>Етичен кодекс</w:t>
      </w:r>
      <w:r w:rsidR="00C70B2E" w:rsidRPr="00716193">
        <w:t>“</w:t>
      </w:r>
      <w:r w:rsidRPr="00716193">
        <w:t xml:space="preserve">, </w:t>
      </w:r>
      <w:r w:rsidRPr="00716193">
        <w:rPr>
          <w:rStyle w:val="FontStyle116"/>
          <w:sz w:val="24"/>
          <w:szCs w:val="24"/>
        </w:rPr>
        <w:t xml:space="preserve">установяващ етични норми, принципи и стандарти за поведение на персонала на </w:t>
      </w:r>
      <w:r w:rsidR="00F21F80" w:rsidRPr="00716193">
        <w:rPr>
          <w:rStyle w:val="FontStyle116"/>
          <w:sz w:val="24"/>
          <w:szCs w:val="24"/>
        </w:rPr>
        <w:t>„</w:t>
      </w:r>
      <w:r w:rsidRPr="00716193">
        <w:rPr>
          <w:rStyle w:val="FontStyle116"/>
          <w:sz w:val="24"/>
          <w:szCs w:val="24"/>
        </w:rPr>
        <w:t>НСБ</w:t>
      </w:r>
      <w:r w:rsidR="00F21F80" w:rsidRPr="00716193">
        <w:rPr>
          <w:rStyle w:val="FontStyle116"/>
          <w:sz w:val="24"/>
          <w:szCs w:val="24"/>
        </w:rPr>
        <w:t>“</w:t>
      </w:r>
      <w:r w:rsidRPr="00716193">
        <w:rPr>
          <w:rStyle w:val="FontStyle116"/>
          <w:sz w:val="24"/>
          <w:szCs w:val="24"/>
        </w:rPr>
        <w:t xml:space="preserve"> ЕАД.</w:t>
      </w:r>
      <w:r w:rsidRPr="00716193">
        <w:rPr>
          <w:rStyle w:val="FootnoteReference"/>
        </w:rPr>
        <w:footnoteReference w:id="80"/>
      </w:r>
    </w:p>
    <w:p w:rsidR="004F4CBD" w:rsidRPr="00716193" w:rsidRDefault="002F6CF8" w:rsidP="004F4CBD">
      <w:pPr>
        <w:jc w:val="both"/>
      </w:pPr>
      <w:r w:rsidRPr="00716193">
        <w:rPr>
          <w:rStyle w:val="FontStyle116"/>
          <w:sz w:val="24"/>
          <w:szCs w:val="24"/>
        </w:rPr>
        <w:tab/>
      </w:r>
      <w:r w:rsidR="004F4CBD" w:rsidRPr="00716193">
        <w:rPr>
          <w:rStyle w:val="FontStyle116"/>
          <w:sz w:val="24"/>
          <w:szCs w:val="24"/>
        </w:rPr>
        <w:t>Счетоводна</w:t>
      </w:r>
      <w:r w:rsidRPr="00716193">
        <w:rPr>
          <w:rStyle w:val="FontStyle116"/>
          <w:sz w:val="24"/>
          <w:szCs w:val="24"/>
        </w:rPr>
        <w:t>та политика и Индивидуал</w:t>
      </w:r>
      <w:r w:rsidR="004F4CBD" w:rsidRPr="00716193">
        <w:rPr>
          <w:rStyle w:val="FontStyle116"/>
          <w:sz w:val="24"/>
          <w:szCs w:val="24"/>
        </w:rPr>
        <w:t>н</w:t>
      </w:r>
      <w:r w:rsidRPr="00716193">
        <w:rPr>
          <w:rStyle w:val="FontStyle116"/>
          <w:sz w:val="24"/>
          <w:szCs w:val="24"/>
        </w:rPr>
        <w:t>ия</w:t>
      </w:r>
      <w:r w:rsidR="004F4CBD" w:rsidRPr="00716193">
        <w:rPr>
          <w:rStyle w:val="FontStyle116"/>
          <w:sz w:val="24"/>
          <w:szCs w:val="24"/>
        </w:rPr>
        <w:t xml:space="preserve"> сметкоплан на дружеството са утвърдени от изпълнителния директор, но липсва информация за дата на тяхното утвърждаване.</w:t>
      </w:r>
      <w:r w:rsidR="004F4CBD" w:rsidRPr="00716193">
        <w:rPr>
          <w:rStyle w:val="FootnoteReference"/>
        </w:rPr>
        <w:footnoteReference w:id="81"/>
      </w:r>
    </w:p>
    <w:p w:rsidR="004F4CBD" w:rsidRPr="00716193" w:rsidRDefault="004F4CBD" w:rsidP="004F4CBD">
      <w:pPr>
        <w:jc w:val="both"/>
      </w:pPr>
      <w:r w:rsidRPr="00716193">
        <w:tab/>
      </w:r>
      <w:r w:rsidR="00306F89" w:rsidRPr="00716193">
        <w:t>По време на извършване на одита от</w:t>
      </w:r>
      <w:r w:rsidRPr="00716193">
        <w:t xml:space="preserve"> ръководство</w:t>
      </w:r>
      <w:r w:rsidR="00306F89" w:rsidRPr="00716193">
        <w:t>то</w:t>
      </w:r>
      <w:r w:rsidRPr="00716193">
        <w:t xml:space="preserve"> са предприети мерки за подобряване</w:t>
      </w:r>
      <w:r w:rsidR="002F6CF8" w:rsidRPr="00716193">
        <w:t xml:space="preserve"> на СФУК</w:t>
      </w:r>
      <w:r w:rsidRPr="00716193">
        <w:t xml:space="preserve"> в дружеството</w:t>
      </w:r>
      <w:r w:rsidR="00865DFC" w:rsidRPr="00716193">
        <w:t xml:space="preserve">. </w:t>
      </w:r>
      <w:r w:rsidR="00306F89" w:rsidRPr="00716193">
        <w:t>У</w:t>
      </w:r>
      <w:r w:rsidRPr="00716193">
        <w:t xml:space="preserve">твърдени </w:t>
      </w:r>
      <w:r w:rsidR="00306F89" w:rsidRPr="00716193">
        <w:t xml:space="preserve">са </w:t>
      </w:r>
      <w:r w:rsidRPr="00716193">
        <w:t>редица вътрешни актове</w:t>
      </w:r>
      <w:r w:rsidR="00EB5558" w:rsidRPr="00716193">
        <w:t xml:space="preserve"> – някои от тях са нововъведени, а други са актуализирани, с което </w:t>
      </w:r>
      <w:r w:rsidR="00865DFC" w:rsidRPr="00716193">
        <w:t>са отстранени допуснати пропуски през одитирания период</w:t>
      </w:r>
      <w:r w:rsidR="00DE75D4" w:rsidRPr="00716193">
        <w:t>.</w:t>
      </w:r>
      <w:r w:rsidR="00DE75D4" w:rsidRPr="00716193">
        <w:rPr>
          <w:rStyle w:val="FootnoteReference"/>
        </w:rPr>
        <w:footnoteReference w:id="82"/>
      </w:r>
      <w:r w:rsidR="00865DFC" w:rsidRPr="00716193">
        <w:t xml:space="preserve"> </w:t>
      </w:r>
      <w:r w:rsidR="00306F89" w:rsidRPr="00716193">
        <w:t xml:space="preserve"> Приетите актове</w:t>
      </w:r>
      <w:r w:rsidRPr="00716193">
        <w:t xml:space="preserve"> осигурява</w:t>
      </w:r>
      <w:r w:rsidR="00306F89" w:rsidRPr="00716193">
        <w:t>т</w:t>
      </w:r>
      <w:r w:rsidRPr="00716193">
        <w:t xml:space="preserve"> условия за по-добра контролна среда, </w:t>
      </w:r>
      <w:r w:rsidRPr="00716193">
        <w:lastRenderedPageBreak/>
        <w:t xml:space="preserve">управление на риска, контролни дейности за ограничаване на рисковете, информация и комуникация и мониторинг, което </w:t>
      </w:r>
      <w:r w:rsidR="002F6CF8" w:rsidRPr="00716193">
        <w:t>е предпоставка за</w:t>
      </w:r>
      <w:r w:rsidRPr="00716193">
        <w:t xml:space="preserve"> изпълнение на дейностите на дружеството по законосъобразен и ефективен начин.</w:t>
      </w:r>
      <w:r w:rsidRPr="00716193">
        <w:rPr>
          <w:rStyle w:val="FootnoteReference"/>
        </w:rPr>
        <w:footnoteReference w:id="83"/>
      </w:r>
    </w:p>
    <w:p w:rsidR="004F4CBD" w:rsidRPr="00716193" w:rsidRDefault="004F4CBD" w:rsidP="004F4CBD">
      <w:pPr>
        <w:jc w:val="both"/>
      </w:pPr>
      <w:r w:rsidRPr="00716193">
        <w:tab/>
      </w:r>
    </w:p>
    <w:p w:rsidR="004F4CBD" w:rsidRPr="00716193" w:rsidRDefault="004F4CBD" w:rsidP="004F4CBD">
      <w:pPr>
        <w:jc w:val="both"/>
        <w:rPr>
          <w:rFonts w:eastAsia="Calibri"/>
          <w:i/>
          <w:lang w:eastAsia="en-US"/>
        </w:rPr>
      </w:pPr>
      <w:r w:rsidRPr="00716193">
        <w:tab/>
      </w:r>
      <w:r w:rsidRPr="00716193">
        <w:rPr>
          <w:i/>
        </w:rPr>
        <w:t>Извършването на значителен брой промени в</w:t>
      </w:r>
      <w:r w:rsidRPr="00716193">
        <w:rPr>
          <w:rFonts w:eastAsia="Calibri"/>
          <w:i/>
          <w:lang w:eastAsia="en-US"/>
        </w:rPr>
        <w:t xml:space="preserve"> структурата и щатното разписание на длъжностите предпоставя риск за незаконосъобразно и неефективно изпълнение на дейността на дружеството. </w:t>
      </w:r>
    </w:p>
    <w:p w:rsidR="00C31CAC" w:rsidRPr="00716193" w:rsidRDefault="004F4CBD" w:rsidP="00C31CAC">
      <w:pPr>
        <w:tabs>
          <w:tab w:val="left" w:pos="0"/>
        </w:tabs>
        <w:ind w:firstLine="709"/>
        <w:jc w:val="both"/>
        <w:rPr>
          <w:i/>
        </w:rPr>
      </w:pPr>
      <w:r w:rsidRPr="00716193">
        <w:rPr>
          <w:rFonts w:eastAsia="Calibri"/>
          <w:i/>
          <w:lang w:eastAsia="en-US"/>
        </w:rPr>
        <w:tab/>
        <w:t xml:space="preserve">Промените са извършени </w:t>
      </w:r>
      <w:r w:rsidRPr="00716193">
        <w:rPr>
          <w:i/>
        </w:rPr>
        <w:t xml:space="preserve">в съответствие с </w:t>
      </w:r>
      <w:r w:rsidRPr="00716193">
        <w:rPr>
          <w:rFonts w:eastAsia="Calibri"/>
          <w:i/>
          <w:lang w:eastAsia="en-US"/>
        </w:rPr>
        <w:t>Устава на дружеството, правилата за</w:t>
      </w:r>
      <w:r w:rsidR="00C31CAC" w:rsidRPr="00716193">
        <w:rPr>
          <w:rFonts w:eastAsia="Calibri"/>
          <w:i/>
          <w:lang w:eastAsia="en-US"/>
        </w:rPr>
        <w:t xml:space="preserve"> работа на СД</w:t>
      </w:r>
      <w:r w:rsidRPr="00716193">
        <w:rPr>
          <w:rFonts w:eastAsia="Calibri"/>
          <w:i/>
          <w:lang w:eastAsia="en-US"/>
        </w:rPr>
        <w:t xml:space="preserve"> и договорите за възлагане управлението,</w:t>
      </w:r>
      <w:r w:rsidR="00C31CAC" w:rsidRPr="00716193">
        <w:rPr>
          <w:rFonts w:eastAsia="Calibri"/>
          <w:i/>
          <w:lang w:eastAsia="en-US"/>
        </w:rPr>
        <w:t xml:space="preserve"> </w:t>
      </w:r>
      <w:r w:rsidRPr="00716193">
        <w:rPr>
          <w:rFonts w:eastAsia="Calibri"/>
          <w:i/>
          <w:lang w:eastAsia="en-US"/>
        </w:rPr>
        <w:t>с изключение на констатираните нес</w:t>
      </w:r>
      <w:r w:rsidR="00C31CAC" w:rsidRPr="00716193">
        <w:rPr>
          <w:rFonts w:eastAsia="Calibri"/>
          <w:i/>
          <w:lang w:eastAsia="en-US"/>
        </w:rPr>
        <w:t>ъществени отклонения, свързнати с: две извършени промени в щатното разписание на дружеството, без предхождащи решения от СД в тази връзка; липса на утвърдени органиграми; и не актуализиране на Правилника за устройството и дейността на „НСБ“ ЕАД, в сътветствие с извършените организационни промени.</w:t>
      </w:r>
      <w:r w:rsidR="00C31CAC" w:rsidRPr="00716193">
        <w:rPr>
          <w:i/>
        </w:rPr>
        <w:tab/>
      </w:r>
    </w:p>
    <w:p w:rsidR="004F4CBD" w:rsidRPr="00716193" w:rsidRDefault="004F4CBD" w:rsidP="004F4CBD">
      <w:pPr>
        <w:tabs>
          <w:tab w:val="left" w:pos="0"/>
        </w:tabs>
        <w:ind w:firstLine="709"/>
        <w:jc w:val="both"/>
        <w:rPr>
          <w:i/>
          <w:spacing w:val="-2"/>
        </w:rPr>
      </w:pPr>
      <w:r w:rsidRPr="00716193">
        <w:rPr>
          <w:i/>
          <w:spacing w:val="-2"/>
        </w:rPr>
        <w:t>В края на одитирания период, структурата на дружеството е изградена по начин, който осигурява разделяне на функциите и отговорни за дейността структури и служители.</w:t>
      </w:r>
    </w:p>
    <w:p w:rsidR="004F4CBD" w:rsidRPr="00716193" w:rsidRDefault="004F4CBD" w:rsidP="004F4CBD">
      <w:pPr>
        <w:jc w:val="both"/>
        <w:rPr>
          <w:i/>
        </w:rPr>
      </w:pPr>
      <w:r w:rsidRPr="00716193">
        <w:rPr>
          <w:i/>
        </w:rPr>
        <w:tab/>
        <w:t>През одитирания период дружеството има утвърдени вътрешни акт</w:t>
      </w:r>
      <w:r w:rsidR="00C31CAC" w:rsidRPr="00716193">
        <w:rPr>
          <w:i/>
        </w:rPr>
        <w:t>ове, като част от СФУК, но</w:t>
      </w:r>
      <w:r w:rsidRPr="00716193">
        <w:rPr>
          <w:i/>
        </w:rPr>
        <w:t xml:space="preserve"> са допуснати известни пропуски отн</w:t>
      </w:r>
      <w:r w:rsidR="00C31CAC" w:rsidRPr="00716193">
        <w:rPr>
          <w:i/>
        </w:rPr>
        <w:t>осно някои от елементите й</w:t>
      </w:r>
      <w:r w:rsidRPr="00716193">
        <w:rPr>
          <w:i/>
        </w:rPr>
        <w:t xml:space="preserve"> </w:t>
      </w:r>
      <w:r w:rsidR="00C31CAC" w:rsidRPr="00716193">
        <w:rPr>
          <w:i/>
        </w:rPr>
        <w:t>–</w:t>
      </w:r>
      <w:r w:rsidRPr="00716193">
        <w:rPr>
          <w:i/>
        </w:rPr>
        <w:t xml:space="preserve"> ням</w:t>
      </w:r>
      <w:r w:rsidR="00C31CAC" w:rsidRPr="00716193">
        <w:rPr>
          <w:i/>
        </w:rPr>
        <w:t>а приет</w:t>
      </w:r>
      <w:r w:rsidRPr="00716193">
        <w:rPr>
          <w:i/>
        </w:rPr>
        <w:t xml:space="preserve"> </w:t>
      </w:r>
      <w:r w:rsidR="00806266" w:rsidRPr="00716193">
        <w:rPr>
          <w:i/>
        </w:rPr>
        <w:t>„</w:t>
      </w:r>
      <w:r w:rsidRPr="00716193">
        <w:rPr>
          <w:i/>
        </w:rPr>
        <w:t>Етичен кодекс</w:t>
      </w:r>
      <w:r w:rsidR="00806266" w:rsidRPr="00716193">
        <w:rPr>
          <w:i/>
        </w:rPr>
        <w:t>“</w:t>
      </w:r>
      <w:r w:rsidR="00C31CAC" w:rsidRPr="00716193">
        <w:rPr>
          <w:i/>
        </w:rPr>
        <w:t xml:space="preserve"> </w:t>
      </w:r>
      <w:r w:rsidRPr="00716193">
        <w:rPr>
          <w:i/>
        </w:rPr>
        <w:t>и през по-голямата част от периода няма назначен финансов контрольор.</w:t>
      </w:r>
    </w:p>
    <w:p w:rsidR="00FA4FB6" w:rsidRPr="00716193" w:rsidRDefault="00FA4FB6" w:rsidP="004F4CBD">
      <w:pPr>
        <w:widowControl w:val="0"/>
        <w:tabs>
          <w:tab w:val="left" w:pos="0"/>
        </w:tabs>
        <w:ind w:firstLine="709"/>
        <w:jc w:val="both"/>
        <w:rPr>
          <w:b/>
        </w:rPr>
      </w:pPr>
    </w:p>
    <w:p w:rsidR="004F4CBD" w:rsidRPr="00716193" w:rsidRDefault="004F4CBD" w:rsidP="004F4CBD">
      <w:pPr>
        <w:widowControl w:val="0"/>
        <w:tabs>
          <w:tab w:val="left" w:pos="0"/>
        </w:tabs>
        <w:ind w:firstLine="709"/>
        <w:jc w:val="both"/>
        <w:rPr>
          <w:b/>
          <w:bCs/>
        </w:rPr>
      </w:pPr>
      <w:r w:rsidRPr="00716193">
        <w:rPr>
          <w:b/>
        </w:rPr>
        <w:t>2.</w:t>
      </w:r>
      <w:r w:rsidRPr="00716193">
        <w:t xml:space="preserve"> </w:t>
      </w:r>
      <w:r w:rsidRPr="00716193">
        <w:rPr>
          <w:b/>
          <w:bCs/>
        </w:rPr>
        <w:t>Анализ на финансовото състояние на дружеството през одитирания период</w:t>
      </w:r>
    </w:p>
    <w:p w:rsidR="004F4CBD" w:rsidRPr="00716193" w:rsidRDefault="004F4CBD" w:rsidP="004F4CBD">
      <w:pPr>
        <w:ind w:firstLine="709"/>
        <w:jc w:val="both"/>
        <w:rPr>
          <w:rStyle w:val="ala"/>
        </w:rPr>
      </w:pPr>
      <w:r w:rsidRPr="00716193">
        <w:t>Съгласно изискванията на З</w:t>
      </w:r>
      <w:r w:rsidR="009E4513" w:rsidRPr="00716193">
        <w:t>НФО</w:t>
      </w:r>
      <w:r w:rsidRPr="00716193">
        <w:t>, З</w:t>
      </w:r>
      <w:r w:rsidR="009E4513" w:rsidRPr="00716193">
        <w:t>Сч</w:t>
      </w:r>
      <w:r w:rsidRPr="00716193">
        <w:t xml:space="preserve"> и Международните одиторски стандарти, е извършен </w:t>
      </w:r>
      <w:r w:rsidRPr="00716193">
        <w:rPr>
          <w:rStyle w:val="ala"/>
        </w:rPr>
        <w:t>задължителен независим финансов одит</w:t>
      </w:r>
      <w:r w:rsidRPr="00716193">
        <w:t xml:space="preserve"> от регистриран одитор на </w:t>
      </w:r>
      <w:r w:rsidRPr="00716193">
        <w:rPr>
          <w:rStyle w:val="ala"/>
        </w:rPr>
        <w:t>годишните финансови отчети на дружеството за 2013 г.</w:t>
      </w:r>
      <w:r w:rsidRPr="00716193">
        <w:rPr>
          <w:rStyle w:val="ala"/>
          <w:lang w:val="en-US"/>
        </w:rPr>
        <w:t xml:space="preserve"> </w:t>
      </w:r>
      <w:r w:rsidRPr="00716193">
        <w:rPr>
          <w:rStyle w:val="ala"/>
        </w:rPr>
        <w:t xml:space="preserve">и за 2014 г. Съгласно докладите на независимия одитор за извършените одити на ГФО за 2013 г. и 2014 г. на </w:t>
      </w:r>
      <w:r w:rsidR="000D7766" w:rsidRPr="00716193">
        <w:rPr>
          <w:rStyle w:val="ala"/>
        </w:rPr>
        <w:t>„</w:t>
      </w:r>
      <w:r w:rsidRPr="00716193">
        <w:rPr>
          <w:rStyle w:val="ala"/>
        </w:rPr>
        <w:t>НСБ</w:t>
      </w:r>
      <w:r w:rsidR="000D7766" w:rsidRPr="00716193">
        <w:rPr>
          <w:rStyle w:val="ala"/>
        </w:rPr>
        <w:t>“</w:t>
      </w:r>
      <w:r w:rsidRPr="00716193">
        <w:rPr>
          <w:rStyle w:val="ala"/>
        </w:rPr>
        <w:t xml:space="preserve"> ЕАД: „…финансовият отчет дава вярна и честна представа за финансовото състояние на дружество „Национална спортна база“ ЕАД към 31 декември 2013 г./ 31 декември 2014 г., както и за неговите финансови резултати от дейността и паричните му потоци за годината, приключваща на тази дата, в съответствие с международните стандарти за финансово отчитане, приети от ЕС и българското законодателство.“</w:t>
      </w:r>
      <w:r w:rsidRPr="00716193">
        <w:rPr>
          <w:rStyle w:val="FootnoteReference"/>
        </w:rPr>
        <w:footnoteReference w:id="84"/>
      </w:r>
      <w:r w:rsidRPr="00716193">
        <w:rPr>
          <w:rStyle w:val="ala"/>
        </w:rPr>
        <w:t xml:space="preserve">  </w:t>
      </w:r>
    </w:p>
    <w:p w:rsidR="004F4CBD" w:rsidRPr="00716193" w:rsidRDefault="002F0E9E" w:rsidP="004F4CBD">
      <w:pPr>
        <w:ind w:firstLine="709"/>
        <w:jc w:val="both"/>
      </w:pPr>
      <w:r w:rsidRPr="00716193">
        <w:t>При одита е н</w:t>
      </w:r>
      <w:r w:rsidR="004F4CBD" w:rsidRPr="00716193">
        <w:t xml:space="preserve">аправен </w:t>
      </w:r>
      <w:r w:rsidR="004F4CBD" w:rsidRPr="00716193">
        <w:rPr>
          <w:bCs/>
        </w:rPr>
        <w:t>сравнителен анализ на финансовото състояние на</w:t>
      </w:r>
      <w:r w:rsidR="004F4CBD" w:rsidRPr="00716193">
        <w:t xml:space="preserve"> дружеството</w:t>
      </w:r>
      <w:r w:rsidR="004F4CBD" w:rsidRPr="00716193">
        <w:rPr>
          <w:bCs/>
        </w:rPr>
        <w:t xml:space="preserve"> през двете години на одитирания период</w:t>
      </w:r>
      <w:r w:rsidRPr="00716193">
        <w:rPr>
          <w:bCs/>
        </w:rPr>
        <w:t xml:space="preserve">, като се ползват </w:t>
      </w:r>
      <w:r w:rsidRPr="00716193">
        <w:rPr>
          <w:rStyle w:val="ala"/>
        </w:rPr>
        <w:t>резултатите от извършените независими финансови одити</w:t>
      </w:r>
      <w:r w:rsidR="004F4CBD" w:rsidRPr="00716193">
        <w:rPr>
          <w:bCs/>
        </w:rPr>
        <w:t>.</w:t>
      </w:r>
    </w:p>
    <w:p w:rsidR="004F4CBD" w:rsidRPr="00716193" w:rsidRDefault="004F4CBD" w:rsidP="004F4CBD">
      <w:pPr>
        <w:tabs>
          <w:tab w:val="left" w:pos="0"/>
        </w:tabs>
        <w:ind w:firstLine="709"/>
        <w:jc w:val="both"/>
        <w:rPr>
          <w:b/>
          <w:spacing w:val="-2"/>
          <w:lang w:val="en-US"/>
        </w:rPr>
      </w:pPr>
    </w:p>
    <w:p w:rsidR="004F4CBD" w:rsidRPr="00716193" w:rsidRDefault="004F4CBD" w:rsidP="004F4CBD">
      <w:pPr>
        <w:tabs>
          <w:tab w:val="left" w:pos="0"/>
        </w:tabs>
        <w:ind w:firstLine="709"/>
        <w:jc w:val="both"/>
        <w:rPr>
          <w:b/>
          <w:spacing w:val="-2"/>
        </w:rPr>
      </w:pPr>
      <w:r w:rsidRPr="00716193">
        <w:rPr>
          <w:b/>
          <w:spacing w:val="-2"/>
        </w:rPr>
        <w:t>2.1. Приходи и разходи</w:t>
      </w:r>
      <w:r w:rsidRPr="00716193">
        <w:rPr>
          <w:rStyle w:val="FootnoteReference"/>
        </w:rPr>
        <w:footnoteReference w:id="85"/>
      </w:r>
      <w:r w:rsidRPr="00716193">
        <w:rPr>
          <w:b/>
          <w:spacing w:val="-2"/>
        </w:rPr>
        <w:t xml:space="preserve"> </w:t>
      </w:r>
    </w:p>
    <w:p w:rsidR="004F4CBD" w:rsidRPr="00716193" w:rsidRDefault="004F4CBD" w:rsidP="004F4CBD">
      <w:pPr>
        <w:tabs>
          <w:tab w:val="left" w:pos="0"/>
        </w:tabs>
        <w:ind w:firstLine="709"/>
        <w:jc w:val="both"/>
        <w:rPr>
          <w:spacing w:val="-2"/>
        </w:rPr>
      </w:pPr>
      <w:r w:rsidRPr="00716193">
        <w:rPr>
          <w:spacing w:val="-2"/>
        </w:rPr>
        <w:t>Приходите и разходите за основната дейност на дружеството през одитирания период са както следва:</w:t>
      </w:r>
    </w:p>
    <w:p w:rsidR="004F4CBD" w:rsidRPr="00716193" w:rsidRDefault="004F4CBD" w:rsidP="004F4CBD">
      <w:pPr>
        <w:tabs>
          <w:tab w:val="left" w:pos="0"/>
        </w:tabs>
        <w:ind w:firstLine="709"/>
        <w:jc w:val="both"/>
        <w:rPr>
          <w:spacing w:val="-2"/>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54"/>
        <w:gridCol w:w="764"/>
        <w:gridCol w:w="808"/>
        <w:gridCol w:w="1062"/>
        <w:gridCol w:w="1727"/>
        <w:gridCol w:w="1004"/>
        <w:gridCol w:w="751"/>
        <w:gridCol w:w="823"/>
        <w:gridCol w:w="763"/>
      </w:tblGrid>
      <w:tr w:rsidR="004F4CBD" w:rsidRPr="00716193" w:rsidTr="004F4CBD">
        <w:tc>
          <w:tcPr>
            <w:tcW w:w="149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b/>
                <w:i/>
                <w:sz w:val="16"/>
                <w:szCs w:val="16"/>
              </w:rPr>
              <w:t>2013 г.</w:t>
            </w:r>
          </w:p>
        </w:tc>
        <w:tc>
          <w:tcPr>
            <w:tcW w:w="94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b/>
                <w:i/>
                <w:spacing w:val="-2"/>
                <w:sz w:val="16"/>
                <w:szCs w:val="16"/>
              </w:rPr>
              <w:t>2014 г.</w:t>
            </w:r>
          </w:p>
        </w:tc>
        <w:tc>
          <w:tcPr>
            <w:tcW w:w="175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b/>
                <w:i/>
                <w:sz w:val="16"/>
                <w:szCs w:val="16"/>
              </w:rPr>
              <w:t>2013 г.</w:t>
            </w:r>
          </w:p>
        </w:tc>
        <w:tc>
          <w:tcPr>
            <w:tcW w:w="80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b/>
                <w:i/>
                <w:sz w:val="16"/>
                <w:szCs w:val="16"/>
              </w:rPr>
              <w:t>2014 г.</w:t>
            </w:r>
          </w:p>
        </w:tc>
      </w:tr>
      <w:tr w:rsidR="004F4CBD" w:rsidRPr="00716193" w:rsidTr="004F4CBD">
        <w:tc>
          <w:tcPr>
            <w:tcW w:w="7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rPr>
                <w:b/>
                <w:i/>
                <w:spacing w:val="-2"/>
                <w:sz w:val="16"/>
                <w:szCs w:val="16"/>
              </w:rPr>
            </w:pPr>
            <w:r w:rsidRPr="00716193">
              <w:rPr>
                <w:b/>
                <w:i/>
                <w:spacing w:val="-2"/>
                <w:sz w:val="16"/>
                <w:szCs w:val="16"/>
              </w:rPr>
              <w:t>Приходи от продажби на:</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i/>
                <w:spacing w:val="-2"/>
                <w:sz w:val="16"/>
                <w:szCs w:val="16"/>
              </w:rPr>
              <w:t>в хил. лв.</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i/>
                <w:spacing w:val="-2"/>
                <w:sz w:val="16"/>
                <w:szCs w:val="16"/>
              </w:rPr>
              <w:t>%</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i/>
                <w:spacing w:val="-2"/>
                <w:sz w:val="16"/>
                <w:szCs w:val="16"/>
              </w:rPr>
              <w:t>в хил. лв.</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i/>
                <w:spacing w:val="-2"/>
                <w:sz w:val="16"/>
                <w:szCs w:val="16"/>
              </w:rPr>
              <w:t>%</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rPr>
                <w:b/>
                <w:i/>
                <w:spacing w:val="-2"/>
                <w:sz w:val="16"/>
                <w:szCs w:val="16"/>
              </w:rPr>
            </w:pPr>
            <w:r w:rsidRPr="00716193">
              <w:rPr>
                <w:b/>
                <w:i/>
                <w:spacing w:val="-2"/>
                <w:sz w:val="16"/>
                <w:szCs w:val="16"/>
              </w:rPr>
              <w:t>Разходи за дейността: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i/>
                <w:spacing w:val="-2"/>
                <w:sz w:val="16"/>
                <w:szCs w:val="16"/>
              </w:rPr>
              <w:t>в хил. лв.</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i/>
                <w:spacing w:val="-2"/>
                <w:sz w:val="16"/>
                <w:szCs w:val="16"/>
              </w:rPr>
              <w:t>%</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i/>
                <w:spacing w:val="-2"/>
                <w:sz w:val="16"/>
                <w:szCs w:val="16"/>
              </w:rPr>
              <w:t>в хил. лв.</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i/>
                <w:spacing w:val="-2"/>
                <w:sz w:val="16"/>
                <w:szCs w:val="16"/>
              </w:rPr>
              <w:t>%</w:t>
            </w:r>
          </w:p>
        </w:tc>
      </w:tr>
      <w:tr w:rsidR="004F4CBD" w:rsidRPr="00716193" w:rsidTr="004F4CBD">
        <w:tc>
          <w:tcPr>
            <w:tcW w:w="782" w:type="pct"/>
            <w:tcBorders>
              <w:top w:val="single" w:sz="4" w:space="0" w:color="auto"/>
              <w:left w:val="single" w:sz="4" w:space="0" w:color="auto"/>
              <w:bottom w:val="single" w:sz="4" w:space="0" w:color="auto"/>
              <w:right w:val="single" w:sz="4" w:space="0" w:color="auto"/>
            </w:tcBorders>
            <w:shd w:val="clear" w:color="auto" w:fill="FFFFFF"/>
            <w:hideMark/>
          </w:tcPr>
          <w:p w:rsidR="004F4CBD" w:rsidRPr="00716193" w:rsidRDefault="004F4CBD" w:rsidP="004F4CBD">
            <w:pPr>
              <w:rPr>
                <w:i/>
                <w:sz w:val="16"/>
                <w:szCs w:val="16"/>
              </w:rPr>
            </w:pPr>
            <w:r w:rsidRPr="00716193">
              <w:rPr>
                <w:i/>
                <w:sz w:val="16"/>
                <w:szCs w:val="16"/>
              </w:rPr>
              <w:t xml:space="preserve"> Приходи от продажба на продукция</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sz w:val="16"/>
                <w:szCs w:val="16"/>
              </w:rPr>
            </w:pPr>
            <w:r w:rsidRPr="00716193">
              <w:rPr>
                <w:sz w:val="16"/>
                <w:szCs w:val="16"/>
              </w:rPr>
              <w:t>1 199</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i/>
                <w:spacing w:val="-2"/>
                <w:sz w:val="16"/>
                <w:szCs w:val="16"/>
              </w:rPr>
              <w:t>16</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sz w:val="16"/>
                <w:szCs w:val="16"/>
              </w:rPr>
              <w:t>1 057</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i/>
                <w:sz w:val="16"/>
                <w:szCs w:val="16"/>
              </w:rPr>
              <w:t>15</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rPr>
                <w:i/>
                <w:sz w:val="16"/>
                <w:szCs w:val="16"/>
              </w:rPr>
            </w:pPr>
            <w:r w:rsidRPr="00716193">
              <w:rPr>
                <w:i/>
                <w:sz w:val="16"/>
                <w:szCs w:val="16"/>
              </w:rPr>
              <w:t>Разходи за материали</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i/>
                <w:sz w:val="16"/>
                <w:szCs w:val="16"/>
              </w:rPr>
              <w:t>1 101</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i/>
                <w:sz w:val="16"/>
                <w:szCs w:val="16"/>
              </w:rPr>
              <w:t>8</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i/>
                <w:sz w:val="16"/>
                <w:szCs w:val="16"/>
              </w:rPr>
              <w:t>1 131</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i/>
                <w:sz w:val="16"/>
                <w:szCs w:val="16"/>
              </w:rPr>
              <w:t>8</w:t>
            </w:r>
          </w:p>
        </w:tc>
      </w:tr>
      <w:tr w:rsidR="004F4CBD" w:rsidRPr="00716193" w:rsidTr="004F4CBD">
        <w:tc>
          <w:tcPr>
            <w:tcW w:w="782" w:type="pct"/>
            <w:tcBorders>
              <w:top w:val="single" w:sz="4" w:space="0" w:color="auto"/>
              <w:left w:val="single" w:sz="4" w:space="0" w:color="auto"/>
              <w:bottom w:val="single" w:sz="4" w:space="0" w:color="auto"/>
              <w:right w:val="single" w:sz="4" w:space="0" w:color="auto"/>
            </w:tcBorders>
            <w:shd w:val="clear" w:color="auto" w:fill="FFFFFF"/>
            <w:hideMark/>
          </w:tcPr>
          <w:p w:rsidR="004F4CBD" w:rsidRPr="00716193" w:rsidRDefault="004F4CBD" w:rsidP="004F4CBD">
            <w:pPr>
              <w:rPr>
                <w:i/>
                <w:sz w:val="16"/>
                <w:szCs w:val="16"/>
              </w:rPr>
            </w:pPr>
            <w:r w:rsidRPr="00716193">
              <w:rPr>
                <w:i/>
                <w:sz w:val="16"/>
                <w:szCs w:val="16"/>
              </w:rPr>
              <w:t>Приходи от продажба на стоки</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sz w:val="16"/>
                <w:szCs w:val="16"/>
              </w:rPr>
            </w:pPr>
            <w:r w:rsidRPr="00716193">
              <w:rPr>
                <w:sz w:val="16"/>
                <w:szCs w:val="16"/>
              </w:rPr>
              <w:t>40</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i/>
                <w:spacing w:val="-2"/>
                <w:sz w:val="16"/>
                <w:szCs w:val="16"/>
              </w:rPr>
              <w:t>1</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i/>
                <w:sz w:val="16"/>
                <w:szCs w:val="16"/>
              </w:rPr>
              <w:t>63</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i/>
                <w:sz w:val="16"/>
                <w:szCs w:val="16"/>
              </w:rPr>
              <w:t>1</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rPr>
                <w:i/>
                <w:sz w:val="16"/>
                <w:szCs w:val="16"/>
              </w:rPr>
            </w:pPr>
            <w:r w:rsidRPr="00716193">
              <w:rPr>
                <w:i/>
                <w:sz w:val="16"/>
                <w:szCs w:val="16"/>
              </w:rPr>
              <w:t>Разходи за външни услуги и данъци</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3 459</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27</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3 932</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27</w:t>
            </w:r>
          </w:p>
        </w:tc>
      </w:tr>
      <w:tr w:rsidR="004F4CBD" w:rsidRPr="00716193" w:rsidTr="004F4CBD">
        <w:tc>
          <w:tcPr>
            <w:tcW w:w="782" w:type="pct"/>
            <w:tcBorders>
              <w:top w:val="single" w:sz="4" w:space="0" w:color="auto"/>
              <w:left w:val="single" w:sz="4" w:space="0" w:color="auto"/>
              <w:bottom w:val="single" w:sz="4" w:space="0" w:color="auto"/>
              <w:right w:val="single" w:sz="4" w:space="0" w:color="auto"/>
            </w:tcBorders>
            <w:shd w:val="clear" w:color="auto" w:fill="FFFFFF"/>
            <w:hideMark/>
          </w:tcPr>
          <w:p w:rsidR="004F4CBD" w:rsidRPr="00716193" w:rsidRDefault="004F4CBD" w:rsidP="004F4CBD">
            <w:pPr>
              <w:rPr>
                <w:i/>
                <w:sz w:val="16"/>
                <w:szCs w:val="16"/>
              </w:rPr>
            </w:pPr>
            <w:r w:rsidRPr="00716193">
              <w:rPr>
                <w:i/>
                <w:sz w:val="16"/>
                <w:szCs w:val="16"/>
              </w:rPr>
              <w:t xml:space="preserve">Приходи от </w:t>
            </w:r>
            <w:r w:rsidRPr="00716193">
              <w:rPr>
                <w:i/>
                <w:sz w:val="16"/>
                <w:szCs w:val="16"/>
              </w:rPr>
              <w:lastRenderedPageBreak/>
              <w:t>продажба на услуги</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sz w:val="16"/>
                <w:szCs w:val="16"/>
              </w:rPr>
            </w:pPr>
            <w:r w:rsidRPr="00716193">
              <w:rPr>
                <w:sz w:val="16"/>
                <w:szCs w:val="16"/>
              </w:rPr>
              <w:lastRenderedPageBreak/>
              <w:t>6 417</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i/>
                <w:spacing w:val="-2"/>
                <w:sz w:val="16"/>
                <w:szCs w:val="16"/>
              </w:rPr>
              <w:t>83</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i/>
                <w:sz w:val="16"/>
                <w:szCs w:val="16"/>
              </w:rPr>
              <w:t>5 928</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i/>
                <w:sz w:val="16"/>
                <w:szCs w:val="16"/>
              </w:rPr>
              <w:t>84</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rPr>
                <w:i/>
                <w:sz w:val="16"/>
                <w:szCs w:val="16"/>
              </w:rPr>
            </w:pPr>
            <w:r w:rsidRPr="00716193">
              <w:rPr>
                <w:i/>
                <w:sz w:val="16"/>
                <w:szCs w:val="16"/>
              </w:rPr>
              <w:t>Разходи за персонал</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2 851</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22</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3 016</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20</w:t>
            </w:r>
          </w:p>
        </w:tc>
      </w:tr>
      <w:tr w:rsidR="004F4CBD" w:rsidRPr="00716193" w:rsidTr="004F4CBD">
        <w:tc>
          <w:tcPr>
            <w:tcW w:w="7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tabs>
                <w:tab w:val="left" w:pos="0"/>
              </w:tabs>
              <w:rPr>
                <w:i/>
                <w:sz w:val="16"/>
                <w:szCs w:val="16"/>
              </w:rPr>
            </w:pPr>
            <w:r w:rsidRPr="00716193">
              <w:rPr>
                <w:b/>
                <w:i/>
                <w:spacing w:val="-2"/>
                <w:sz w:val="16"/>
                <w:szCs w:val="16"/>
              </w:rPr>
              <w:lastRenderedPageBreak/>
              <w:t>Общо приходи от продажби:</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tabs>
                <w:tab w:val="left" w:pos="0"/>
              </w:tabs>
              <w:jc w:val="center"/>
              <w:rPr>
                <w:b/>
                <w:i/>
                <w:spacing w:val="-2"/>
                <w:sz w:val="16"/>
                <w:szCs w:val="16"/>
              </w:rPr>
            </w:pPr>
            <w:r w:rsidRPr="00716193">
              <w:rPr>
                <w:b/>
                <w:i/>
                <w:spacing w:val="-2"/>
                <w:sz w:val="16"/>
                <w:szCs w:val="16"/>
              </w:rPr>
              <w:t>7 656</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tabs>
                <w:tab w:val="left" w:pos="0"/>
              </w:tabs>
              <w:jc w:val="center"/>
              <w:rPr>
                <w:i/>
                <w:spacing w:val="-2"/>
                <w:sz w:val="16"/>
                <w:szCs w:val="16"/>
              </w:rPr>
            </w:pPr>
            <w:r w:rsidRPr="00716193">
              <w:rPr>
                <w:i/>
                <w:spacing w:val="-2"/>
                <w:sz w:val="16"/>
                <w:szCs w:val="16"/>
              </w:rPr>
              <w:t>100</w:t>
            </w:r>
          </w:p>
          <w:p w:rsidR="004F4CBD" w:rsidRPr="00716193" w:rsidRDefault="004F4CBD" w:rsidP="004F4CBD">
            <w:pPr>
              <w:widowControl w:val="0"/>
              <w:tabs>
                <w:tab w:val="left" w:pos="0"/>
              </w:tabs>
              <w:jc w:val="center"/>
              <w:rPr>
                <w:i/>
                <w:spacing w:val="-2"/>
                <w:sz w:val="16"/>
                <w:szCs w:val="16"/>
              </w:rPr>
            </w:pPr>
            <w:r w:rsidRPr="00716193">
              <w:rPr>
                <w:i/>
                <w:spacing w:val="-2"/>
                <w:sz w:val="16"/>
                <w:szCs w:val="16"/>
              </w:rPr>
              <w:t>86</w:t>
            </w:r>
            <w:r w:rsidRPr="00716193">
              <w:rPr>
                <w:rStyle w:val="FootnoteReference"/>
                <w:i/>
                <w:spacing w:val="-2"/>
              </w:rPr>
              <w:footnoteReference w:id="86"/>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jc w:val="center"/>
              <w:rPr>
                <w:b/>
                <w:i/>
                <w:sz w:val="16"/>
                <w:szCs w:val="16"/>
              </w:rPr>
            </w:pPr>
            <w:r w:rsidRPr="00716193">
              <w:rPr>
                <w:b/>
                <w:i/>
                <w:sz w:val="16"/>
                <w:szCs w:val="16"/>
              </w:rPr>
              <w:t>7 048</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jc w:val="center"/>
              <w:rPr>
                <w:i/>
                <w:sz w:val="16"/>
                <w:szCs w:val="16"/>
              </w:rPr>
            </w:pPr>
            <w:r w:rsidRPr="00716193">
              <w:rPr>
                <w:i/>
                <w:sz w:val="16"/>
                <w:szCs w:val="16"/>
              </w:rPr>
              <w:t>100</w:t>
            </w:r>
          </w:p>
          <w:p w:rsidR="004F4CBD" w:rsidRPr="00716193" w:rsidRDefault="004F4CBD" w:rsidP="004F4CBD">
            <w:pPr>
              <w:widowControl w:val="0"/>
              <w:jc w:val="center"/>
              <w:rPr>
                <w:i/>
                <w:sz w:val="16"/>
                <w:szCs w:val="16"/>
              </w:rPr>
            </w:pPr>
            <w:r w:rsidRPr="00716193">
              <w:rPr>
                <w:i/>
                <w:sz w:val="16"/>
                <w:szCs w:val="16"/>
              </w:rPr>
              <w:t>89</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rPr>
                <w:i/>
                <w:sz w:val="16"/>
                <w:szCs w:val="16"/>
              </w:rPr>
            </w:pPr>
            <w:r w:rsidRPr="00716193">
              <w:rPr>
                <w:i/>
                <w:sz w:val="16"/>
                <w:szCs w:val="16"/>
              </w:rPr>
              <w:t>Разходи за амортизация и обезценка на нефинансови активи</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5 380</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41</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5 396</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36</w:t>
            </w:r>
          </w:p>
        </w:tc>
      </w:tr>
      <w:tr w:rsidR="004F4CBD" w:rsidRPr="00716193" w:rsidTr="004F4CBD">
        <w:tc>
          <w:tcPr>
            <w:tcW w:w="7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rPr>
                <w:b/>
                <w:i/>
                <w:spacing w:val="-2"/>
                <w:sz w:val="16"/>
                <w:szCs w:val="16"/>
              </w:rPr>
            </w:pPr>
            <w:r w:rsidRPr="00716193">
              <w:rPr>
                <w:b/>
                <w:i/>
                <w:spacing w:val="-2"/>
                <w:sz w:val="16"/>
                <w:szCs w:val="16"/>
              </w:rPr>
              <w:t>Други приходи:</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tabs>
                <w:tab w:val="left" w:pos="0"/>
              </w:tabs>
              <w:jc w:val="center"/>
              <w:rPr>
                <w:b/>
                <w:i/>
                <w:spacing w:val="-2"/>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tabs>
                <w:tab w:val="left" w:pos="0"/>
              </w:tabs>
              <w:jc w:val="center"/>
              <w:rPr>
                <w:i/>
                <w:spacing w:val="-2"/>
                <w:sz w:val="16"/>
                <w:szCs w:val="16"/>
              </w:rPr>
            </w:pP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center"/>
              <w:rPr>
                <w:b/>
                <w:i/>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center"/>
              <w:rPr>
                <w:i/>
                <w:sz w:val="16"/>
                <w:szCs w:val="16"/>
              </w:rPr>
            </w:pP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rPr>
                <w:i/>
                <w:sz w:val="16"/>
                <w:szCs w:val="16"/>
              </w:rPr>
            </w:pPr>
            <w:r w:rsidRPr="00716193">
              <w:rPr>
                <w:i/>
                <w:sz w:val="16"/>
                <w:szCs w:val="16"/>
              </w:rPr>
              <w:t>Себестойност на продадените стоки и други текущи активи</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24</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&lt;0.01</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35</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&lt;0.01</w:t>
            </w:r>
          </w:p>
        </w:tc>
      </w:tr>
      <w:tr w:rsidR="004F4CBD" w:rsidRPr="00716193" w:rsidTr="004F4CBD">
        <w:tc>
          <w:tcPr>
            <w:tcW w:w="7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rPr>
                <w:i/>
                <w:sz w:val="16"/>
                <w:szCs w:val="16"/>
              </w:rPr>
            </w:pPr>
            <w:r w:rsidRPr="00716193">
              <w:rPr>
                <w:i/>
                <w:spacing w:val="-2"/>
                <w:sz w:val="16"/>
                <w:szCs w:val="16"/>
              </w:rPr>
              <w:t>Приходи от финансирания</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sz w:val="16"/>
                <w:szCs w:val="16"/>
              </w:rPr>
            </w:pPr>
            <w:r w:rsidRPr="00716193">
              <w:rPr>
                <w:i/>
                <w:spacing w:val="-2"/>
                <w:sz w:val="16"/>
                <w:szCs w:val="16"/>
              </w:rPr>
              <w:t>887</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i/>
                <w:spacing w:val="-2"/>
                <w:sz w:val="16"/>
                <w:szCs w:val="16"/>
              </w:rPr>
              <w:t>72</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i/>
                <w:sz w:val="16"/>
                <w:szCs w:val="16"/>
              </w:rPr>
              <w:t>806</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i/>
                <w:sz w:val="16"/>
                <w:szCs w:val="16"/>
              </w:rPr>
              <w:t>89</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rPr>
                <w:i/>
                <w:sz w:val="16"/>
                <w:szCs w:val="16"/>
              </w:rPr>
            </w:pPr>
            <w:r w:rsidRPr="00716193">
              <w:rPr>
                <w:i/>
                <w:sz w:val="16"/>
                <w:szCs w:val="16"/>
              </w:rPr>
              <w:t>Други разходи</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187</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2</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1 319</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i/>
                <w:sz w:val="16"/>
                <w:szCs w:val="16"/>
              </w:rPr>
            </w:pPr>
            <w:r w:rsidRPr="00716193">
              <w:rPr>
                <w:i/>
                <w:sz w:val="16"/>
                <w:szCs w:val="16"/>
              </w:rPr>
              <w:t>9</w:t>
            </w:r>
          </w:p>
        </w:tc>
      </w:tr>
      <w:tr w:rsidR="004F4CBD" w:rsidRPr="00716193" w:rsidTr="004F4CBD">
        <w:tc>
          <w:tcPr>
            <w:tcW w:w="7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tabs>
                <w:tab w:val="left" w:pos="0"/>
              </w:tabs>
              <w:rPr>
                <w:i/>
                <w:sz w:val="16"/>
                <w:szCs w:val="16"/>
              </w:rPr>
            </w:pPr>
            <w:r w:rsidRPr="00716193">
              <w:rPr>
                <w:i/>
                <w:sz w:val="16"/>
                <w:szCs w:val="16"/>
              </w:rPr>
              <w:t>Излишъци на активи</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tabs>
                <w:tab w:val="left" w:pos="0"/>
              </w:tabs>
              <w:jc w:val="center"/>
              <w:rPr>
                <w:i/>
                <w:spacing w:val="-2"/>
                <w:sz w:val="16"/>
                <w:szCs w:val="16"/>
              </w:rPr>
            </w:pPr>
            <w:r w:rsidRPr="00716193">
              <w:rPr>
                <w:i/>
                <w:spacing w:val="-2"/>
                <w:sz w:val="16"/>
                <w:szCs w:val="16"/>
              </w:rPr>
              <w:t>104</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tabs>
                <w:tab w:val="left" w:pos="0"/>
              </w:tabs>
              <w:jc w:val="center"/>
              <w:rPr>
                <w:i/>
                <w:spacing w:val="-2"/>
                <w:sz w:val="16"/>
                <w:szCs w:val="16"/>
              </w:rPr>
            </w:pPr>
            <w:r w:rsidRPr="00716193">
              <w:rPr>
                <w:i/>
                <w:spacing w:val="-2"/>
                <w:sz w:val="16"/>
                <w:szCs w:val="16"/>
              </w:rPr>
              <w:t>8</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jc w:val="center"/>
              <w:rPr>
                <w:i/>
                <w:sz w:val="16"/>
                <w:szCs w:val="16"/>
              </w:rPr>
            </w:pPr>
            <w:r w:rsidRPr="00716193">
              <w:rPr>
                <w:i/>
                <w:sz w:val="16"/>
                <w:szCs w:val="16"/>
              </w:rPr>
              <w:t>2</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i/>
                <w:sz w:val="16"/>
                <w:szCs w:val="16"/>
              </w:rPr>
              <w:t>&lt;0.01</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rPr>
                <w:i/>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r>
      <w:tr w:rsidR="004F4CBD" w:rsidRPr="00716193" w:rsidTr="004F4CBD">
        <w:tc>
          <w:tcPr>
            <w:tcW w:w="7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rPr>
                <w:b/>
                <w:i/>
                <w:spacing w:val="-2"/>
                <w:sz w:val="16"/>
                <w:szCs w:val="16"/>
              </w:rPr>
            </w:pPr>
            <w:r w:rsidRPr="00716193">
              <w:rPr>
                <w:i/>
                <w:sz w:val="16"/>
                <w:szCs w:val="16"/>
              </w:rPr>
              <w:t>Глоби и неустойки</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i/>
                <w:spacing w:val="-2"/>
                <w:sz w:val="16"/>
                <w:szCs w:val="16"/>
              </w:rPr>
              <w:t>70</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i/>
                <w:spacing w:val="-2"/>
                <w:sz w:val="16"/>
                <w:szCs w:val="16"/>
              </w:rPr>
              <w:t>6</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i/>
                <w:sz w:val="16"/>
                <w:szCs w:val="16"/>
              </w:rPr>
              <w:t>7</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i/>
                <w:sz w:val="16"/>
                <w:szCs w:val="16"/>
              </w:rPr>
              <w:t>1</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rPr>
                <w:i/>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r>
      <w:tr w:rsidR="004F4CBD" w:rsidRPr="00716193" w:rsidTr="004F4CBD">
        <w:tc>
          <w:tcPr>
            <w:tcW w:w="782" w:type="pct"/>
            <w:tcBorders>
              <w:top w:val="single" w:sz="4" w:space="0" w:color="auto"/>
              <w:left w:val="single" w:sz="4" w:space="0" w:color="auto"/>
              <w:bottom w:val="single" w:sz="4" w:space="0" w:color="auto"/>
              <w:right w:val="single" w:sz="4" w:space="0" w:color="auto"/>
            </w:tcBorders>
            <w:shd w:val="clear" w:color="auto" w:fill="FFFFFF"/>
            <w:hideMark/>
          </w:tcPr>
          <w:p w:rsidR="004F4CBD" w:rsidRPr="00716193" w:rsidRDefault="004F4CBD" w:rsidP="004F4CBD">
            <w:pPr>
              <w:widowControl w:val="0"/>
              <w:rPr>
                <w:i/>
                <w:sz w:val="16"/>
                <w:szCs w:val="16"/>
              </w:rPr>
            </w:pPr>
            <w:r w:rsidRPr="00716193">
              <w:rPr>
                <w:i/>
                <w:sz w:val="16"/>
                <w:szCs w:val="16"/>
              </w:rPr>
              <w:t>Застрахователни обезщетения</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tabs>
                <w:tab w:val="left" w:pos="0"/>
              </w:tabs>
              <w:jc w:val="center"/>
              <w:rPr>
                <w:i/>
                <w:spacing w:val="-2"/>
                <w:sz w:val="16"/>
                <w:szCs w:val="16"/>
              </w:rPr>
            </w:pPr>
            <w:r w:rsidRPr="00716193">
              <w:rPr>
                <w:i/>
                <w:spacing w:val="-2"/>
                <w:sz w:val="16"/>
                <w:szCs w:val="16"/>
              </w:rPr>
              <w:t>25</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pPr>
            <w:r w:rsidRPr="00716193">
              <w:rPr>
                <w:i/>
                <w:spacing w:val="-2"/>
                <w:sz w:val="16"/>
                <w:szCs w:val="16"/>
              </w:rPr>
              <w:t>2</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jc w:val="center"/>
              <w:rPr>
                <w:i/>
                <w:sz w:val="16"/>
                <w:szCs w:val="16"/>
              </w:rPr>
            </w:pPr>
            <w:r w:rsidRPr="00716193">
              <w:rPr>
                <w:i/>
                <w:sz w:val="16"/>
                <w:szCs w:val="16"/>
              </w:rPr>
              <w:t>11</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i/>
                <w:sz w:val="16"/>
                <w:szCs w:val="16"/>
              </w:rPr>
              <w:t>1</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rPr>
                <w:i/>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r>
      <w:tr w:rsidR="004F4CBD" w:rsidRPr="00716193" w:rsidTr="004F4CBD">
        <w:tc>
          <w:tcPr>
            <w:tcW w:w="782" w:type="pct"/>
            <w:tcBorders>
              <w:top w:val="single" w:sz="4" w:space="0" w:color="auto"/>
              <w:left w:val="single" w:sz="4" w:space="0" w:color="auto"/>
              <w:bottom w:val="single" w:sz="4" w:space="0" w:color="auto"/>
              <w:right w:val="single" w:sz="4" w:space="0" w:color="auto"/>
            </w:tcBorders>
            <w:shd w:val="clear" w:color="auto" w:fill="FFFFFF"/>
            <w:hideMark/>
          </w:tcPr>
          <w:p w:rsidR="004F4CBD" w:rsidRPr="00716193" w:rsidRDefault="004F4CBD" w:rsidP="004F4CBD">
            <w:pPr>
              <w:widowControl w:val="0"/>
              <w:rPr>
                <w:i/>
                <w:sz w:val="16"/>
                <w:szCs w:val="16"/>
              </w:rPr>
            </w:pPr>
            <w:r w:rsidRPr="00716193">
              <w:rPr>
                <w:i/>
                <w:sz w:val="16"/>
                <w:szCs w:val="16"/>
              </w:rPr>
              <w:t>Компенсация на повредени активи</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tabs>
                <w:tab w:val="left" w:pos="0"/>
              </w:tabs>
              <w:jc w:val="center"/>
              <w:rPr>
                <w:i/>
                <w:spacing w:val="-2"/>
                <w:sz w:val="16"/>
                <w:szCs w:val="16"/>
              </w:rPr>
            </w:pPr>
            <w:r w:rsidRPr="00716193">
              <w:rPr>
                <w:i/>
                <w:spacing w:val="-2"/>
                <w:sz w:val="16"/>
                <w:szCs w:val="16"/>
              </w:rPr>
              <w:t>15</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pPr>
            <w:r w:rsidRPr="00716193">
              <w:rPr>
                <w:i/>
                <w:spacing w:val="-2"/>
                <w:sz w:val="16"/>
                <w:szCs w:val="16"/>
              </w:rPr>
              <w:t>1</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jc w:val="center"/>
              <w:rPr>
                <w:i/>
                <w:sz w:val="16"/>
                <w:szCs w:val="16"/>
              </w:rPr>
            </w:pPr>
            <w:r w:rsidRPr="00716193">
              <w:rPr>
                <w:i/>
                <w:sz w:val="16"/>
                <w:szCs w:val="16"/>
              </w:rPr>
              <w:t>37</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i/>
                <w:sz w:val="16"/>
                <w:szCs w:val="16"/>
              </w:rPr>
              <w:t>4</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rPr>
                <w:i/>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r>
      <w:tr w:rsidR="004F4CBD" w:rsidRPr="00716193" w:rsidTr="004F4CBD">
        <w:tc>
          <w:tcPr>
            <w:tcW w:w="782" w:type="pct"/>
            <w:tcBorders>
              <w:top w:val="single" w:sz="4" w:space="0" w:color="auto"/>
              <w:left w:val="single" w:sz="4" w:space="0" w:color="auto"/>
              <w:bottom w:val="single" w:sz="4" w:space="0" w:color="auto"/>
              <w:right w:val="single" w:sz="4" w:space="0" w:color="auto"/>
            </w:tcBorders>
            <w:shd w:val="clear" w:color="auto" w:fill="FFFFFF"/>
            <w:hideMark/>
          </w:tcPr>
          <w:p w:rsidR="004F4CBD" w:rsidRPr="00716193" w:rsidRDefault="004F4CBD" w:rsidP="004F4CBD">
            <w:pPr>
              <w:rPr>
                <w:i/>
                <w:sz w:val="16"/>
                <w:szCs w:val="16"/>
              </w:rPr>
            </w:pPr>
            <w:r w:rsidRPr="00716193">
              <w:rPr>
                <w:i/>
                <w:sz w:val="16"/>
                <w:szCs w:val="16"/>
              </w:rPr>
              <w:t>Отписани задължения</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tabs>
                <w:tab w:val="left" w:pos="0"/>
              </w:tabs>
              <w:jc w:val="center"/>
              <w:rPr>
                <w:i/>
                <w:spacing w:val="-2"/>
                <w:sz w:val="16"/>
                <w:szCs w:val="16"/>
              </w:rPr>
            </w:pPr>
            <w:r w:rsidRPr="00716193">
              <w:rPr>
                <w:i/>
                <w:spacing w:val="-2"/>
                <w:sz w:val="16"/>
                <w:szCs w:val="16"/>
              </w:rPr>
              <w:t>11</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pPr>
            <w:r w:rsidRPr="00716193">
              <w:rPr>
                <w:i/>
                <w:spacing w:val="-2"/>
                <w:sz w:val="16"/>
                <w:szCs w:val="16"/>
              </w:rPr>
              <w:t>1</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i/>
                <w:sz w:val="16"/>
                <w:szCs w:val="16"/>
              </w:rPr>
              <w:t>22</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rPr>
                <w:i/>
                <w:sz w:val="16"/>
                <w:szCs w:val="16"/>
              </w:rPr>
            </w:pPr>
            <w:r w:rsidRPr="00716193">
              <w:rPr>
                <w:i/>
                <w:sz w:val="16"/>
                <w:szCs w:val="16"/>
              </w:rPr>
              <w:t>2</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rPr>
                <w:i/>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r>
      <w:tr w:rsidR="004F4CBD" w:rsidRPr="00716193" w:rsidTr="004F4CBD">
        <w:tc>
          <w:tcPr>
            <w:tcW w:w="782" w:type="pct"/>
            <w:tcBorders>
              <w:top w:val="single" w:sz="4" w:space="0" w:color="auto"/>
              <w:left w:val="single" w:sz="4" w:space="0" w:color="auto"/>
              <w:bottom w:val="single" w:sz="4" w:space="0" w:color="auto"/>
              <w:right w:val="single" w:sz="4" w:space="0" w:color="auto"/>
            </w:tcBorders>
            <w:shd w:val="clear" w:color="auto" w:fill="FFFFFF"/>
            <w:hideMark/>
          </w:tcPr>
          <w:p w:rsidR="004F4CBD" w:rsidRPr="00716193" w:rsidRDefault="004F4CBD" w:rsidP="004F4CBD">
            <w:pPr>
              <w:widowControl w:val="0"/>
              <w:rPr>
                <w:i/>
                <w:sz w:val="16"/>
                <w:szCs w:val="16"/>
              </w:rPr>
            </w:pPr>
            <w:r w:rsidRPr="00716193">
              <w:rPr>
                <w:i/>
                <w:sz w:val="16"/>
                <w:szCs w:val="16"/>
              </w:rPr>
              <w:t>Продажба на материали</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tabs>
                <w:tab w:val="left" w:pos="0"/>
              </w:tabs>
              <w:jc w:val="center"/>
              <w:rPr>
                <w:i/>
                <w:spacing w:val="-2"/>
                <w:sz w:val="16"/>
                <w:szCs w:val="16"/>
              </w:rPr>
            </w:pPr>
            <w:r w:rsidRPr="00716193">
              <w:rPr>
                <w:i/>
                <w:spacing w:val="-2"/>
                <w:sz w:val="16"/>
                <w:szCs w:val="16"/>
              </w:rPr>
              <w:t>10</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center"/>
            </w:pPr>
            <w:r w:rsidRPr="00716193">
              <w:rPr>
                <w:i/>
                <w:spacing w:val="-2"/>
                <w:sz w:val="16"/>
                <w:szCs w:val="16"/>
              </w:rPr>
              <w:t>1</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jc w:val="center"/>
              <w:rPr>
                <w:i/>
                <w:sz w:val="16"/>
                <w:szCs w:val="16"/>
              </w:rPr>
            </w:pPr>
            <w:r w:rsidRPr="00716193">
              <w:rPr>
                <w:i/>
                <w:sz w:val="16"/>
                <w:szCs w:val="16"/>
              </w:rPr>
              <w:t>3</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jc w:val="center"/>
              <w:rPr>
                <w:i/>
                <w:sz w:val="16"/>
                <w:szCs w:val="16"/>
              </w:rPr>
            </w:pPr>
            <w:r w:rsidRPr="00716193">
              <w:rPr>
                <w:i/>
                <w:sz w:val="16"/>
                <w:szCs w:val="16"/>
              </w:rPr>
              <w:t>&lt;0.01</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rPr>
                <w:b/>
                <w:i/>
                <w:spacing w:val="-2"/>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jc w:val="right"/>
              <w:rPr>
                <w:i/>
                <w:sz w:val="16"/>
                <w:szCs w:val="16"/>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jc w:val="right"/>
              <w:rPr>
                <w:i/>
                <w:sz w:val="16"/>
                <w:szCs w:val="16"/>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widowControl w:val="0"/>
              <w:jc w:val="right"/>
              <w:rPr>
                <w:i/>
                <w:sz w:val="16"/>
                <w:szCs w:val="16"/>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4CBD" w:rsidRPr="00716193" w:rsidRDefault="004F4CBD" w:rsidP="004F4CBD">
            <w:pPr>
              <w:jc w:val="right"/>
              <w:rPr>
                <w:i/>
                <w:sz w:val="16"/>
                <w:szCs w:val="16"/>
              </w:rPr>
            </w:pPr>
          </w:p>
        </w:tc>
      </w:tr>
      <w:tr w:rsidR="004F4CBD" w:rsidRPr="00716193" w:rsidTr="004F4CBD">
        <w:tc>
          <w:tcPr>
            <w:tcW w:w="782" w:type="pct"/>
            <w:tcBorders>
              <w:top w:val="single" w:sz="4" w:space="0" w:color="auto"/>
              <w:left w:val="single" w:sz="4" w:space="0" w:color="auto"/>
              <w:bottom w:val="single" w:sz="4" w:space="0" w:color="auto"/>
              <w:right w:val="single" w:sz="4" w:space="0" w:color="auto"/>
            </w:tcBorders>
            <w:shd w:val="clear" w:color="auto" w:fill="FFFFFF"/>
          </w:tcPr>
          <w:p w:rsidR="004F4CBD" w:rsidRPr="00716193" w:rsidRDefault="004F4CBD" w:rsidP="004F4CBD">
            <w:pPr>
              <w:widowControl w:val="0"/>
              <w:rPr>
                <w:i/>
                <w:sz w:val="16"/>
                <w:szCs w:val="16"/>
              </w:rPr>
            </w:pPr>
            <w:r w:rsidRPr="00716193">
              <w:rPr>
                <w:i/>
                <w:sz w:val="16"/>
                <w:szCs w:val="16"/>
              </w:rPr>
              <w:t>Други приходи</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tabs>
                <w:tab w:val="left" w:pos="0"/>
              </w:tabs>
              <w:jc w:val="center"/>
              <w:rPr>
                <w:i/>
                <w:spacing w:val="-2"/>
                <w:sz w:val="16"/>
                <w:szCs w:val="16"/>
              </w:rPr>
            </w:pPr>
            <w:r w:rsidRPr="00716193">
              <w:rPr>
                <w:i/>
                <w:spacing w:val="-2"/>
                <w:sz w:val="16"/>
                <w:szCs w:val="16"/>
              </w:rPr>
              <w:t>115</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tabs>
                <w:tab w:val="left" w:pos="0"/>
              </w:tabs>
              <w:jc w:val="center"/>
              <w:rPr>
                <w:i/>
                <w:spacing w:val="-2"/>
                <w:sz w:val="16"/>
                <w:szCs w:val="16"/>
              </w:rPr>
            </w:pPr>
            <w:r w:rsidRPr="00716193">
              <w:rPr>
                <w:i/>
                <w:spacing w:val="-2"/>
                <w:sz w:val="16"/>
                <w:szCs w:val="16"/>
              </w:rPr>
              <w:t>9</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center"/>
              <w:rPr>
                <w:i/>
                <w:sz w:val="16"/>
                <w:szCs w:val="16"/>
              </w:rPr>
            </w:pPr>
            <w:r w:rsidRPr="00716193">
              <w:rPr>
                <w:i/>
                <w:sz w:val="16"/>
                <w:szCs w:val="16"/>
              </w:rPr>
              <w:t>26</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center"/>
              <w:rPr>
                <w:i/>
                <w:sz w:val="16"/>
                <w:szCs w:val="16"/>
              </w:rPr>
            </w:pPr>
            <w:r w:rsidRPr="00716193">
              <w:rPr>
                <w:i/>
                <w:sz w:val="16"/>
                <w:szCs w:val="16"/>
              </w:rPr>
              <w:t>3</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rPr>
                <w:b/>
                <w:i/>
                <w:spacing w:val="-2"/>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right"/>
              <w:rPr>
                <w:i/>
                <w:sz w:val="16"/>
                <w:szCs w:val="16"/>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right"/>
              <w:rPr>
                <w:i/>
                <w:sz w:val="16"/>
                <w:szCs w:val="16"/>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right"/>
              <w:rPr>
                <w:i/>
                <w:sz w:val="16"/>
                <w:szCs w:val="16"/>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r>
      <w:tr w:rsidR="004F4CBD" w:rsidRPr="00716193" w:rsidTr="004F4CBD">
        <w:tc>
          <w:tcPr>
            <w:tcW w:w="782" w:type="pct"/>
            <w:tcBorders>
              <w:top w:val="single" w:sz="4" w:space="0" w:color="auto"/>
              <w:left w:val="single" w:sz="4" w:space="0" w:color="auto"/>
              <w:bottom w:val="single" w:sz="4" w:space="0" w:color="auto"/>
              <w:right w:val="single" w:sz="4" w:space="0" w:color="auto"/>
            </w:tcBorders>
            <w:shd w:val="clear" w:color="auto" w:fill="FFFFFF"/>
          </w:tcPr>
          <w:p w:rsidR="004F4CBD" w:rsidRPr="00716193" w:rsidRDefault="004F4CBD" w:rsidP="004F4CBD">
            <w:pPr>
              <w:widowControl w:val="0"/>
              <w:rPr>
                <w:b/>
                <w:i/>
                <w:sz w:val="16"/>
                <w:szCs w:val="16"/>
              </w:rPr>
            </w:pPr>
            <w:r w:rsidRPr="00716193">
              <w:rPr>
                <w:b/>
                <w:i/>
                <w:sz w:val="16"/>
                <w:szCs w:val="16"/>
              </w:rPr>
              <w:t>Общо Други приходи:</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tabs>
                <w:tab w:val="left" w:pos="0"/>
              </w:tabs>
              <w:jc w:val="center"/>
              <w:rPr>
                <w:b/>
                <w:i/>
                <w:spacing w:val="-2"/>
                <w:sz w:val="16"/>
                <w:szCs w:val="16"/>
              </w:rPr>
            </w:pPr>
            <w:r w:rsidRPr="00716193">
              <w:rPr>
                <w:b/>
                <w:i/>
                <w:spacing w:val="-2"/>
                <w:sz w:val="16"/>
                <w:szCs w:val="16"/>
              </w:rPr>
              <w:t>1 237</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tabs>
                <w:tab w:val="left" w:pos="0"/>
              </w:tabs>
              <w:jc w:val="center"/>
              <w:rPr>
                <w:i/>
                <w:spacing w:val="-2"/>
                <w:sz w:val="16"/>
                <w:szCs w:val="16"/>
              </w:rPr>
            </w:pPr>
            <w:r w:rsidRPr="00716193">
              <w:rPr>
                <w:i/>
                <w:spacing w:val="-2"/>
                <w:sz w:val="16"/>
                <w:szCs w:val="16"/>
              </w:rPr>
              <w:t>100</w:t>
            </w:r>
          </w:p>
          <w:p w:rsidR="004F4CBD" w:rsidRPr="00716193" w:rsidRDefault="004F4CBD" w:rsidP="004F4CBD">
            <w:pPr>
              <w:widowControl w:val="0"/>
              <w:tabs>
                <w:tab w:val="left" w:pos="0"/>
              </w:tabs>
              <w:jc w:val="center"/>
              <w:rPr>
                <w:i/>
                <w:spacing w:val="-2"/>
                <w:sz w:val="16"/>
                <w:szCs w:val="16"/>
              </w:rPr>
            </w:pPr>
            <w:r w:rsidRPr="00716193">
              <w:rPr>
                <w:i/>
                <w:spacing w:val="-2"/>
                <w:sz w:val="16"/>
                <w:szCs w:val="16"/>
              </w:rPr>
              <w:t>14</w:t>
            </w:r>
            <w:r w:rsidRPr="00716193">
              <w:rPr>
                <w:rStyle w:val="FootnoteReference"/>
                <w:i/>
                <w:spacing w:val="-2"/>
              </w:rPr>
              <w:footnoteReference w:id="87"/>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center"/>
              <w:rPr>
                <w:b/>
                <w:i/>
                <w:sz w:val="16"/>
                <w:szCs w:val="16"/>
              </w:rPr>
            </w:pPr>
            <w:r w:rsidRPr="00716193">
              <w:rPr>
                <w:b/>
                <w:i/>
                <w:sz w:val="16"/>
                <w:szCs w:val="16"/>
              </w:rPr>
              <w:t>914</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center"/>
              <w:rPr>
                <w:i/>
                <w:sz w:val="16"/>
                <w:szCs w:val="16"/>
              </w:rPr>
            </w:pPr>
            <w:r w:rsidRPr="00716193">
              <w:rPr>
                <w:i/>
                <w:sz w:val="16"/>
                <w:szCs w:val="16"/>
              </w:rPr>
              <w:t>100</w:t>
            </w:r>
          </w:p>
          <w:p w:rsidR="004F4CBD" w:rsidRPr="00716193" w:rsidRDefault="004F4CBD" w:rsidP="004F4CBD">
            <w:pPr>
              <w:widowControl w:val="0"/>
              <w:jc w:val="center"/>
              <w:rPr>
                <w:i/>
                <w:sz w:val="16"/>
                <w:szCs w:val="16"/>
              </w:rPr>
            </w:pPr>
            <w:r w:rsidRPr="00716193">
              <w:rPr>
                <w:i/>
                <w:sz w:val="16"/>
                <w:szCs w:val="16"/>
              </w:rPr>
              <w:t>11</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rPr>
                <w:b/>
                <w:i/>
                <w:spacing w:val="-2"/>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right"/>
              <w:rPr>
                <w:i/>
                <w:sz w:val="16"/>
                <w:szCs w:val="16"/>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right"/>
              <w:rPr>
                <w:i/>
                <w:sz w:val="16"/>
                <w:szCs w:val="16"/>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right"/>
              <w:rPr>
                <w:i/>
                <w:sz w:val="16"/>
                <w:szCs w:val="16"/>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r>
      <w:tr w:rsidR="004F4CBD" w:rsidRPr="00716193" w:rsidTr="004F4CBD">
        <w:tc>
          <w:tcPr>
            <w:tcW w:w="782" w:type="pct"/>
            <w:tcBorders>
              <w:top w:val="single" w:sz="4" w:space="0" w:color="auto"/>
              <w:left w:val="single" w:sz="4" w:space="0" w:color="auto"/>
              <w:bottom w:val="single" w:sz="4" w:space="0" w:color="auto"/>
              <w:right w:val="single" w:sz="4" w:space="0" w:color="auto"/>
            </w:tcBorders>
            <w:shd w:val="clear" w:color="auto" w:fill="FFFFFF"/>
          </w:tcPr>
          <w:p w:rsidR="004F4CBD" w:rsidRPr="00716193" w:rsidRDefault="004F4CBD" w:rsidP="004F4CBD">
            <w:pPr>
              <w:widowControl w:val="0"/>
              <w:rPr>
                <w:b/>
                <w:i/>
                <w:sz w:val="16"/>
                <w:szCs w:val="16"/>
              </w:rPr>
            </w:pPr>
            <w:r w:rsidRPr="00716193">
              <w:rPr>
                <w:b/>
                <w:i/>
                <w:sz w:val="16"/>
                <w:szCs w:val="16"/>
              </w:rPr>
              <w:t>Печалба от продажба на нетекущи активи</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tabs>
                <w:tab w:val="left" w:pos="0"/>
              </w:tabs>
              <w:jc w:val="center"/>
              <w:rPr>
                <w:b/>
                <w:i/>
                <w:spacing w:val="-2"/>
                <w:sz w:val="16"/>
                <w:szCs w:val="16"/>
              </w:rPr>
            </w:pPr>
            <w:r w:rsidRPr="00716193">
              <w:rPr>
                <w:b/>
                <w:i/>
                <w:spacing w:val="-2"/>
                <w:sz w:val="16"/>
                <w:szCs w:val="16"/>
              </w:rPr>
              <w:t>1</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tabs>
                <w:tab w:val="left" w:pos="0"/>
              </w:tabs>
              <w:jc w:val="center"/>
              <w:rPr>
                <w:i/>
                <w:spacing w:val="-2"/>
                <w:sz w:val="16"/>
                <w:szCs w:val="16"/>
              </w:rPr>
            </w:pPr>
            <w:r w:rsidRPr="00716193">
              <w:rPr>
                <w:i/>
                <w:spacing w:val="-2"/>
                <w:sz w:val="16"/>
                <w:szCs w:val="16"/>
              </w:rPr>
              <w:t>100</w:t>
            </w:r>
          </w:p>
          <w:p w:rsidR="004F4CBD" w:rsidRPr="00716193" w:rsidRDefault="004F4CBD" w:rsidP="004F4CBD">
            <w:pPr>
              <w:widowControl w:val="0"/>
              <w:tabs>
                <w:tab w:val="left" w:pos="0"/>
              </w:tabs>
              <w:jc w:val="center"/>
              <w:rPr>
                <w:i/>
                <w:spacing w:val="-2"/>
                <w:sz w:val="16"/>
                <w:szCs w:val="16"/>
              </w:rPr>
            </w:pPr>
            <w:r w:rsidRPr="00716193">
              <w:rPr>
                <w:i/>
                <w:sz w:val="16"/>
                <w:szCs w:val="16"/>
              </w:rPr>
              <w:t>&lt;0.01</w:t>
            </w:r>
            <w:r w:rsidRPr="00716193">
              <w:rPr>
                <w:rStyle w:val="FootnoteReference"/>
                <w:i/>
              </w:rPr>
              <w:footnoteReference w:id="88"/>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center"/>
              <w:rPr>
                <w:b/>
                <w:i/>
                <w:sz w:val="16"/>
                <w:szCs w:val="16"/>
              </w:rPr>
            </w:pPr>
            <w:r w:rsidRPr="00716193">
              <w:rPr>
                <w:b/>
                <w:i/>
                <w:sz w:val="16"/>
                <w:szCs w:val="16"/>
              </w:rPr>
              <w:t>2</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center"/>
              <w:rPr>
                <w:i/>
                <w:sz w:val="16"/>
                <w:szCs w:val="16"/>
              </w:rPr>
            </w:pPr>
            <w:r w:rsidRPr="00716193">
              <w:rPr>
                <w:i/>
                <w:sz w:val="16"/>
                <w:szCs w:val="16"/>
              </w:rPr>
              <w:t>100</w:t>
            </w:r>
          </w:p>
          <w:p w:rsidR="004F4CBD" w:rsidRPr="00716193" w:rsidRDefault="004F4CBD" w:rsidP="004F4CBD">
            <w:pPr>
              <w:widowControl w:val="0"/>
              <w:jc w:val="center"/>
              <w:rPr>
                <w:i/>
                <w:sz w:val="16"/>
                <w:szCs w:val="16"/>
              </w:rPr>
            </w:pPr>
            <w:r w:rsidRPr="00716193">
              <w:rPr>
                <w:i/>
                <w:sz w:val="16"/>
                <w:szCs w:val="16"/>
              </w:rPr>
              <w:t>&lt;0.01</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rPr>
                <w:b/>
                <w:i/>
                <w:spacing w:val="-2"/>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right"/>
              <w:rPr>
                <w:i/>
                <w:sz w:val="16"/>
                <w:szCs w:val="16"/>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right"/>
              <w:rPr>
                <w:i/>
                <w:sz w:val="16"/>
                <w:szCs w:val="16"/>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right"/>
              <w:rPr>
                <w:i/>
                <w:sz w:val="16"/>
                <w:szCs w:val="16"/>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right"/>
              <w:rPr>
                <w:i/>
                <w:sz w:val="16"/>
                <w:szCs w:val="16"/>
              </w:rPr>
            </w:pPr>
          </w:p>
        </w:tc>
      </w:tr>
      <w:tr w:rsidR="004F4CBD" w:rsidRPr="00716193" w:rsidTr="004F4CBD">
        <w:tc>
          <w:tcPr>
            <w:tcW w:w="782"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tabs>
                <w:tab w:val="left" w:pos="0"/>
              </w:tabs>
              <w:rPr>
                <w:i/>
                <w:sz w:val="16"/>
                <w:szCs w:val="16"/>
              </w:rPr>
            </w:pPr>
            <w:r w:rsidRPr="00716193">
              <w:rPr>
                <w:b/>
                <w:i/>
                <w:spacing w:val="-2"/>
                <w:sz w:val="16"/>
                <w:szCs w:val="16"/>
              </w:rPr>
              <w:t>Общо приходи:</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tabs>
                <w:tab w:val="left" w:pos="0"/>
              </w:tabs>
              <w:jc w:val="center"/>
              <w:rPr>
                <w:b/>
                <w:i/>
                <w:spacing w:val="-2"/>
                <w:sz w:val="20"/>
                <w:szCs w:val="20"/>
              </w:rPr>
            </w:pPr>
            <w:r w:rsidRPr="00716193">
              <w:rPr>
                <w:b/>
                <w:i/>
                <w:spacing w:val="-2"/>
                <w:sz w:val="20"/>
                <w:szCs w:val="20"/>
              </w:rPr>
              <w:t>8 894</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tabs>
                <w:tab w:val="left" w:pos="0"/>
              </w:tabs>
              <w:jc w:val="center"/>
              <w:rPr>
                <w:b/>
                <w:i/>
                <w:spacing w:val="-2"/>
                <w:sz w:val="20"/>
                <w:szCs w:val="20"/>
              </w:rPr>
            </w:pPr>
            <w:r w:rsidRPr="00716193">
              <w:rPr>
                <w:b/>
                <w:i/>
                <w:spacing w:val="-2"/>
                <w:sz w:val="20"/>
                <w:szCs w:val="20"/>
              </w:rPr>
              <w:t>100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center"/>
              <w:rPr>
                <w:b/>
                <w:i/>
                <w:sz w:val="20"/>
                <w:szCs w:val="20"/>
              </w:rPr>
            </w:pPr>
            <w:r w:rsidRPr="00716193">
              <w:rPr>
                <w:b/>
                <w:i/>
                <w:sz w:val="20"/>
                <w:szCs w:val="20"/>
              </w:rPr>
              <w:t>7 964</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center"/>
              <w:rPr>
                <w:b/>
                <w:i/>
                <w:sz w:val="20"/>
                <w:szCs w:val="20"/>
              </w:rPr>
            </w:pPr>
            <w:r w:rsidRPr="00716193">
              <w:rPr>
                <w:b/>
                <w:i/>
                <w:sz w:val="20"/>
                <w:szCs w:val="20"/>
              </w:rPr>
              <w:t>100</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rPr>
                <w:i/>
                <w:sz w:val="16"/>
                <w:szCs w:val="16"/>
              </w:rPr>
            </w:pPr>
            <w:r w:rsidRPr="00716193">
              <w:rPr>
                <w:b/>
                <w:i/>
                <w:spacing w:val="-2"/>
                <w:sz w:val="16"/>
                <w:szCs w:val="16"/>
              </w:rPr>
              <w:t>Общо разходи за дейността: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center"/>
              <w:rPr>
                <w:b/>
                <w:i/>
                <w:sz w:val="20"/>
                <w:szCs w:val="20"/>
              </w:rPr>
            </w:pPr>
            <w:r w:rsidRPr="00716193">
              <w:rPr>
                <w:b/>
                <w:i/>
                <w:sz w:val="20"/>
                <w:szCs w:val="20"/>
              </w:rPr>
              <w:t>13 002</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center"/>
              <w:rPr>
                <w:b/>
                <w:i/>
                <w:sz w:val="20"/>
                <w:szCs w:val="20"/>
              </w:rPr>
            </w:pPr>
            <w:r w:rsidRPr="00716193">
              <w:rPr>
                <w:b/>
                <w:i/>
                <w:sz w:val="20"/>
                <w:szCs w:val="20"/>
              </w:rPr>
              <w:t>100</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widowControl w:val="0"/>
              <w:jc w:val="center"/>
              <w:rPr>
                <w:b/>
                <w:i/>
                <w:sz w:val="20"/>
                <w:szCs w:val="20"/>
              </w:rPr>
            </w:pPr>
            <w:r w:rsidRPr="00716193">
              <w:rPr>
                <w:b/>
                <w:i/>
                <w:sz w:val="20"/>
                <w:szCs w:val="20"/>
              </w:rPr>
              <w:t>14 829</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4F4CBD" w:rsidRPr="00716193" w:rsidRDefault="004F4CBD" w:rsidP="004F4CBD">
            <w:pPr>
              <w:jc w:val="center"/>
              <w:rPr>
                <w:b/>
                <w:i/>
                <w:sz w:val="20"/>
                <w:szCs w:val="20"/>
              </w:rPr>
            </w:pPr>
            <w:r w:rsidRPr="00716193">
              <w:rPr>
                <w:b/>
                <w:i/>
                <w:sz w:val="20"/>
                <w:szCs w:val="20"/>
              </w:rPr>
              <w:t>100</w:t>
            </w:r>
          </w:p>
        </w:tc>
      </w:tr>
    </w:tbl>
    <w:p w:rsidR="004F4CBD" w:rsidRPr="00716193" w:rsidRDefault="004F4CBD" w:rsidP="004F4CBD">
      <w:pPr>
        <w:widowControl w:val="0"/>
        <w:tabs>
          <w:tab w:val="left" w:pos="0"/>
        </w:tabs>
        <w:ind w:firstLine="709"/>
        <w:jc w:val="both"/>
        <w:rPr>
          <w:b/>
          <w:spacing w:val="-2"/>
        </w:rPr>
      </w:pPr>
    </w:p>
    <w:p w:rsidR="004F4CBD" w:rsidRPr="00716193" w:rsidRDefault="004F4CBD" w:rsidP="004F4CBD">
      <w:pPr>
        <w:widowControl w:val="0"/>
        <w:tabs>
          <w:tab w:val="left" w:pos="0"/>
        </w:tabs>
        <w:ind w:firstLine="709"/>
        <w:jc w:val="both"/>
        <w:rPr>
          <w:b/>
          <w:spacing w:val="-2"/>
        </w:rPr>
      </w:pPr>
      <w:r w:rsidRPr="00716193">
        <w:rPr>
          <w:b/>
          <w:spacing w:val="-2"/>
        </w:rPr>
        <w:t>2.1.1.</w:t>
      </w:r>
      <w:r w:rsidR="00B61598">
        <w:rPr>
          <w:b/>
          <w:spacing w:val="-2"/>
        </w:rPr>
        <w:t xml:space="preserve"> </w:t>
      </w:r>
      <w:r w:rsidRPr="00716193">
        <w:rPr>
          <w:b/>
          <w:spacing w:val="-2"/>
        </w:rPr>
        <w:t>Приходи</w:t>
      </w:r>
    </w:p>
    <w:p w:rsidR="004F4CBD" w:rsidRPr="00716193" w:rsidRDefault="004F4CBD" w:rsidP="004F4CBD">
      <w:pPr>
        <w:pStyle w:val="FootnoteText"/>
        <w:jc w:val="both"/>
        <w:rPr>
          <w:b/>
          <w:spacing w:val="-2"/>
          <w:sz w:val="24"/>
          <w:szCs w:val="24"/>
        </w:rPr>
      </w:pPr>
      <w:r w:rsidRPr="00716193">
        <w:rPr>
          <w:sz w:val="24"/>
          <w:szCs w:val="24"/>
        </w:rPr>
        <w:tab/>
        <w:t>Приходите от основна дейност на дружеството се формират от постъпили средства</w:t>
      </w:r>
      <w:r w:rsidRPr="00716193">
        <w:rPr>
          <w:color w:val="0000FF"/>
          <w:sz w:val="24"/>
          <w:szCs w:val="24"/>
        </w:rPr>
        <w:t xml:space="preserve"> </w:t>
      </w:r>
      <w:r w:rsidRPr="00716193">
        <w:rPr>
          <w:sz w:val="24"/>
          <w:szCs w:val="24"/>
        </w:rPr>
        <w:t>от продажба на хотелски услуги, услуги със спортни съоръжения, отдаване под наем на прилежащи помещения и площи, продажба на продукция в ресторантьорството, на хранителни и нехранителни готови стоки в кафе-барове и други.</w:t>
      </w:r>
      <w:r w:rsidRPr="00716193">
        <w:rPr>
          <w:b/>
          <w:spacing w:val="-2"/>
          <w:sz w:val="24"/>
          <w:szCs w:val="24"/>
        </w:rPr>
        <w:t xml:space="preserve"> </w:t>
      </w:r>
    </w:p>
    <w:p w:rsidR="004F4CBD" w:rsidRPr="00716193" w:rsidRDefault="004F4CBD" w:rsidP="004F4CBD">
      <w:pPr>
        <w:tabs>
          <w:tab w:val="left" w:pos="0"/>
        </w:tabs>
        <w:ind w:firstLine="709"/>
        <w:jc w:val="both"/>
      </w:pPr>
      <w:r w:rsidRPr="00716193">
        <w:t xml:space="preserve">През 2014 г., приходите от основната дейност на </w:t>
      </w:r>
      <w:r w:rsidR="000D7766" w:rsidRPr="00716193">
        <w:t>„</w:t>
      </w:r>
      <w:r w:rsidRPr="00716193">
        <w:t>НСБ</w:t>
      </w:r>
      <w:r w:rsidR="000D7766" w:rsidRPr="00716193">
        <w:t>“</w:t>
      </w:r>
      <w:r w:rsidRPr="00716193">
        <w:t xml:space="preserve"> ЕАД, в размер на </w:t>
      </w:r>
      <w:r w:rsidR="00B61598">
        <w:t xml:space="preserve">              </w:t>
      </w:r>
      <w:r w:rsidRPr="00716193">
        <w:t xml:space="preserve">7 964  хил. лв., са намалели с 930 хил. лв. или 10,5 на сто спрямо 2013 г. </w:t>
      </w:r>
    </w:p>
    <w:p w:rsidR="004F4CBD" w:rsidRPr="00716193" w:rsidRDefault="004F4CBD" w:rsidP="004F4CBD">
      <w:pPr>
        <w:tabs>
          <w:tab w:val="left" w:pos="0"/>
        </w:tabs>
        <w:ind w:firstLine="709"/>
        <w:jc w:val="both"/>
        <w:rPr>
          <w:spacing w:val="-2"/>
        </w:rPr>
      </w:pPr>
      <w:r w:rsidRPr="00716193">
        <w:t>Отчетеното намаление се дължи на намаление в размера на приходите от продажба на продукция в ресторантьорството със 142 хил. лв., приходите от услуги</w:t>
      </w:r>
      <w:r w:rsidRPr="00716193">
        <w:rPr>
          <w:rStyle w:val="FootnoteReference"/>
        </w:rPr>
        <w:footnoteReference w:id="89"/>
      </w:r>
      <w:r w:rsidRPr="00716193">
        <w:t xml:space="preserve"> с 489 хил. лв., както от финансирания с 81 хил. лв.</w:t>
      </w:r>
      <w:r w:rsidRPr="00716193">
        <w:rPr>
          <w:spacing w:val="-2"/>
        </w:rPr>
        <w:t xml:space="preserve"> и </w:t>
      </w:r>
      <w:r w:rsidRPr="00716193">
        <w:t xml:space="preserve">от други приходи с 242 хил. лв. </w:t>
      </w:r>
    </w:p>
    <w:p w:rsidR="004F4CBD" w:rsidRPr="00716193" w:rsidRDefault="004F4CBD" w:rsidP="004F4CBD">
      <w:pPr>
        <w:tabs>
          <w:tab w:val="left" w:pos="0"/>
        </w:tabs>
        <w:ind w:firstLine="709"/>
        <w:jc w:val="both"/>
      </w:pPr>
      <w:r w:rsidRPr="00716193">
        <w:t>Налице е увеличение на приходите от продажба на стоки</w:t>
      </w:r>
      <w:r w:rsidRPr="00716193">
        <w:rPr>
          <w:rStyle w:val="FootnoteReference"/>
        </w:rPr>
        <w:footnoteReference w:id="90"/>
      </w:r>
      <w:r w:rsidRPr="00716193">
        <w:t xml:space="preserve"> с 23 хил. лв.</w:t>
      </w:r>
    </w:p>
    <w:p w:rsidR="004F4CBD" w:rsidRPr="00716193" w:rsidRDefault="004F4CBD" w:rsidP="004F4CBD">
      <w:pPr>
        <w:tabs>
          <w:tab w:val="left" w:pos="0"/>
        </w:tabs>
        <w:ind w:firstLine="709"/>
        <w:jc w:val="both"/>
      </w:pPr>
      <w:r w:rsidRPr="00716193">
        <w:t>С най-голям относителен дял от приходите на дружеството са приходите от    продажба – 86 на сто през 2013 г. и 89 на сто през 2014 г.</w:t>
      </w:r>
    </w:p>
    <w:p w:rsidR="004F4CBD" w:rsidRPr="00716193" w:rsidRDefault="004F4CBD" w:rsidP="004F4CBD">
      <w:pPr>
        <w:tabs>
          <w:tab w:val="left" w:pos="0"/>
        </w:tabs>
        <w:ind w:firstLine="709"/>
        <w:jc w:val="both"/>
        <w:rPr>
          <w:spacing w:val="-2"/>
        </w:rPr>
      </w:pPr>
      <w:r w:rsidRPr="00716193">
        <w:rPr>
          <w:spacing w:val="-2"/>
        </w:rPr>
        <w:t>С най–голям размер на реализирани приходи от общия размер на приходите от прода</w:t>
      </w:r>
      <w:r w:rsidR="002F0E9E" w:rsidRPr="00716193">
        <w:rPr>
          <w:spacing w:val="-2"/>
        </w:rPr>
        <w:t>жби, са за продажба на</w:t>
      </w:r>
      <w:r w:rsidRPr="00716193">
        <w:rPr>
          <w:spacing w:val="-2"/>
        </w:rPr>
        <w:t xml:space="preserve"> услуги, като през 2013 г. са 6 417 хил. лв., а през 2014 г. - 5 928 хил. лв., или 84 на сто от общия размер на приходите от продажби. Следват приходите от продажба на продукция – 15 на сто и приходите от продажба на стоки – 1 на сто.</w:t>
      </w:r>
      <w:r w:rsidRPr="00716193">
        <w:rPr>
          <w:rStyle w:val="FootnoteReference"/>
          <w:spacing w:val="-2"/>
        </w:rPr>
        <w:footnoteReference w:id="91"/>
      </w:r>
      <w:r w:rsidRPr="00716193">
        <w:rPr>
          <w:spacing w:val="-2"/>
        </w:rPr>
        <w:t xml:space="preserve"> </w:t>
      </w:r>
    </w:p>
    <w:p w:rsidR="004F4CBD" w:rsidRPr="00716193" w:rsidRDefault="004F4CBD" w:rsidP="004F4CBD">
      <w:pPr>
        <w:tabs>
          <w:tab w:val="left" w:pos="0"/>
        </w:tabs>
        <w:ind w:firstLine="709"/>
        <w:jc w:val="both"/>
        <w:rPr>
          <w:b/>
          <w:spacing w:val="-2"/>
          <w:lang w:val="en-US"/>
        </w:rPr>
      </w:pPr>
    </w:p>
    <w:p w:rsidR="004F4CBD" w:rsidRPr="00716193" w:rsidRDefault="004F4CBD" w:rsidP="004F4CBD">
      <w:pPr>
        <w:tabs>
          <w:tab w:val="left" w:pos="0"/>
        </w:tabs>
        <w:ind w:firstLine="709"/>
        <w:jc w:val="both"/>
        <w:rPr>
          <w:b/>
          <w:spacing w:val="-2"/>
        </w:rPr>
      </w:pPr>
      <w:r w:rsidRPr="00716193">
        <w:rPr>
          <w:b/>
          <w:spacing w:val="-2"/>
        </w:rPr>
        <w:t>2.1.2. Разходи</w:t>
      </w:r>
    </w:p>
    <w:p w:rsidR="004F4CBD" w:rsidRPr="00716193" w:rsidRDefault="004F4CBD" w:rsidP="004F4CBD">
      <w:pPr>
        <w:tabs>
          <w:tab w:val="left" w:pos="0"/>
        </w:tabs>
        <w:ind w:firstLine="709"/>
        <w:jc w:val="both"/>
      </w:pPr>
      <w:r w:rsidRPr="00716193">
        <w:t xml:space="preserve">През 2014 г. разходите за дейността на дружеството в размер на 14 829 хил. лв. са увеличени с 1 827 хил. лв. или 14 на сто спрямо 2013 г. Общото увеличение се дължи на </w:t>
      </w:r>
      <w:r w:rsidRPr="00716193">
        <w:lastRenderedPageBreak/>
        <w:t>увеличението на всеки от видовете разходи. Най-зн</w:t>
      </w:r>
      <w:r w:rsidR="002F0E9E" w:rsidRPr="00716193">
        <w:t>ачително увеличение</w:t>
      </w:r>
      <w:r w:rsidRPr="00716193">
        <w:t xml:space="preserve"> е отчетено в други разходи - от 187 хил. лв. през 2013 г. на 1 319 хил. лв. през 2014 г., което се дължи </w:t>
      </w:r>
      <w:r w:rsidR="00A15E5B" w:rsidRPr="00716193">
        <w:t xml:space="preserve">основно </w:t>
      </w:r>
      <w:r w:rsidRPr="00716193">
        <w:t xml:space="preserve">на отписване на парични средства от „Корпоративна търговска банка“ АД в размер на </w:t>
      </w:r>
      <w:r w:rsidR="00B61598">
        <w:t xml:space="preserve">          </w:t>
      </w:r>
      <w:r w:rsidRPr="00716193">
        <w:t>1 228 хил. лв.</w:t>
      </w:r>
    </w:p>
    <w:p w:rsidR="004F4CBD" w:rsidRPr="00716193" w:rsidRDefault="004F4CBD" w:rsidP="004F4CBD">
      <w:pPr>
        <w:tabs>
          <w:tab w:val="left" w:pos="0"/>
        </w:tabs>
        <w:ind w:firstLine="709"/>
        <w:jc w:val="both"/>
      </w:pPr>
      <w:r w:rsidRPr="00716193">
        <w:t>С най-голям относителен д</w:t>
      </w:r>
      <w:r w:rsidR="002F0E9E" w:rsidRPr="00716193">
        <w:t>ял в общите разходи са тези</w:t>
      </w:r>
      <w:r w:rsidRPr="00716193">
        <w:t xml:space="preserve"> за амортизация и обезценка на нефинансови активи – 36 на сто. Следва</w:t>
      </w:r>
      <w:r w:rsidR="002F0E9E" w:rsidRPr="00716193">
        <w:t>т разходите за външни услуги и</w:t>
      </w:r>
      <w:r w:rsidRPr="00716193">
        <w:t xml:space="preserve"> данъци – 27 на сто, за персонал – 20 на сто, за материали – 8 на сто.</w:t>
      </w:r>
      <w:r w:rsidRPr="00716193">
        <w:rPr>
          <w:rStyle w:val="FootnoteReference"/>
        </w:rPr>
        <w:footnoteReference w:id="92"/>
      </w:r>
      <w:r w:rsidRPr="00716193">
        <w:t xml:space="preserve"> </w:t>
      </w:r>
    </w:p>
    <w:p w:rsidR="004F4CBD" w:rsidRPr="00716193" w:rsidRDefault="004F4CBD" w:rsidP="004F4CBD">
      <w:pPr>
        <w:tabs>
          <w:tab w:val="left" w:pos="0"/>
        </w:tabs>
        <w:ind w:firstLine="709"/>
        <w:jc w:val="both"/>
        <w:rPr>
          <w:spacing w:val="-2"/>
        </w:rPr>
      </w:pPr>
      <w:r w:rsidRPr="00716193">
        <w:rPr>
          <w:spacing w:val="-2"/>
        </w:rPr>
        <w:t xml:space="preserve">Себестойността на продадените стоки и други текущи активи през 2013 г. са </w:t>
      </w:r>
      <w:r w:rsidR="00B61598">
        <w:rPr>
          <w:spacing w:val="-2"/>
        </w:rPr>
        <w:t xml:space="preserve">                 </w:t>
      </w:r>
      <w:r w:rsidRPr="00716193">
        <w:rPr>
          <w:spacing w:val="-2"/>
        </w:rPr>
        <w:t>24 хил. лв., а през 2014 г. са 35 хил. лв.</w:t>
      </w:r>
    </w:p>
    <w:p w:rsidR="004F4CBD" w:rsidRPr="00716193" w:rsidRDefault="004F4CBD" w:rsidP="004F4CBD">
      <w:pPr>
        <w:widowControl w:val="0"/>
        <w:tabs>
          <w:tab w:val="left" w:pos="0"/>
        </w:tabs>
        <w:ind w:firstLine="709"/>
        <w:jc w:val="both"/>
        <w:rPr>
          <w:b/>
          <w:spacing w:val="-2"/>
          <w:lang w:val="en-US"/>
        </w:rPr>
      </w:pPr>
    </w:p>
    <w:p w:rsidR="004F4CBD" w:rsidRPr="00716193" w:rsidRDefault="004F4CBD" w:rsidP="004F4CBD">
      <w:pPr>
        <w:widowControl w:val="0"/>
        <w:tabs>
          <w:tab w:val="left" w:pos="0"/>
        </w:tabs>
        <w:ind w:firstLine="709"/>
        <w:jc w:val="both"/>
        <w:rPr>
          <w:b/>
          <w:spacing w:val="-2"/>
        </w:rPr>
      </w:pPr>
      <w:r w:rsidRPr="00716193">
        <w:rPr>
          <w:b/>
          <w:spacing w:val="-2"/>
        </w:rPr>
        <w:t>2.2.</w:t>
      </w:r>
      <w:r w:rsidRPr="00716193">
        <w:rPr>
          <w:spacing w:val="-2"/>
        </w:rPr>
        <w:t xml:space="preserve"> </w:t>
      </w:r>
      <w:r w:rsidRPr="00716193">
        <w:rPr>
          <w:b/>
          <w:spacing w:val="-2"/>
        </w:rPr>
        <w:t>Ф</w:t>
      </w:r>
      <w:r w:rsidRPr="00716193">
        <w:rPr>
          <w:b/>
          <w:bCs/>
        </w:rPr>
        <w:t>инансов резултат</w:t>
      </w:r>
      <w:r w:rsidRPr="00716193">
        <w:rPr>
          <w:rStyle w:val="FootnoteReference"/>
          <w:b/>
          <w:bCs/>
        </w:rPr>
        <w:footnoteReference w:id="93"/>
      </w:r>
    </w:p>
    <w:p w:rsidR="004F4CBD" w:rsidRPr="00716193" w:rsidRDefault="004F4CBD" w:rsidP="004F4CBD">
      <w:pPr>
        <w:widowControl w:val="0"/>
        <w:tabs>
          <w:tab w:val="left" w:pos="0"/>
        </w:tabs>
        <w:ind w:firstLine="709"/>
        <w:jc w:val="both"/>
        <w:rPr>
          <w:spacing w:val="-2"/>
        </w:rPr>
      </w:pPr>
      <w:r w:rsidRPr="00716193">
        <w:rPr>
          <w:spacing w:val="-2"/>
        </w:rPr>
        <w:t>Дружеството отчита отрицателен финансов резултат през двете години на одитирания период, като през 2013 г. е 4 252 хил. лв., а през 2014 г. е 7 282 хил. лв.</w:t>
      </w:r>
    </w:p>
    <w:p w:rsidR="004F4CBD" w:rsidRPr="00716193" w:rsidRDefault="004F4CBD" w:rsidP="004F4CBD">
      <w:pPr>
        <w:widowControl w:val="0"/>
        <w:tabs>
          <w:tab w:val="left" w:pos="0"/>
        </w:tabs>
        <w:ind w:firstLine="709"/>
        <w:jc w:val="both"/>
        <w:rPr>
          <w:b/>
          <w:spacing w:val="-2"/>
        </w:rPr>
      </w:pPr>
      <w:r w:rsidRPr="00716193">
        <w:rPr>
          <w:spacing w:val="-2"/>
        </w:rPr>
        <w:t>Нарастването на загубата през 2014 г. спрямо 2013 г. се дължи на намалението на общия размер на приходите от основна дейност и увеличението в общия размер на разходите за дейността на дружеството.</w:t>
      </w:r>
    </w:p>
    <w:p w:rsidR="004F4CBD" w:rsidRPr="00716193" w:rsidRDefault="004F4CBD" w:rsidP="004F4CBD">
      <w:pPr>
        <w:widowControl w:val="0"/>
        <w:tabs>
          <w:tab w:val="left" w:pos="0"/>
        </w:tabs>
        <w:ind w:firstLine="709"/>
        <w:jc w:val="both"/>
        <w:rPr>
          <w:spacing w:val="-2"/>
        </w:rPr>
      </w:pPr>
      <w:r w:rsidRPr="00716193">
        <w:rPr>
          <w:spacing w:val="-2"/>
        </w:rPr>
        <w:t xml:space="preserve">Собственият капитал на </w:t>
      </w:r>
      <w:r w:rsidR="000D7766" w:rsidRPr="00716193">
        <w:rPr>
          <w:spacing w:val="-2"/>
        </w:rPr>
        <w:t>„</w:t>
      </w:r>
      <w:r w:rsidRPr="00716193">
        <w:rPr>
          <w:spacing w:val="-2"/>
        </w:rPr>
        <w:t>НСБ</w:t>
      </w:r>
      <w:r w:rsidR="000D7766" w:rsidRPr="00716193">
        <w:rPr>
          <w:spacing w:val="-2"/>
        </w:rPr>
        <w:t>“</w:t>
      </w:r>
      <w:r w:rsidRPr="00716193">
        <w:rPr>
          <w:spacing w:val="-2"/>
        </w:rPr>
        <w:t xml:space="preserve"> ЕАД:</w:t>
      </w:r>
    </w:p>
    <w:p w:rsidR="004F4CBD" w:rsidRPr="00716193" w:rsidRDefault="004F4CBD" w:rsidP="004F4CBD">
      <w:pPr>
        <w:widowControl w:val="0"/>
        <w:tabs>
          <w:tab w:val="left" w:pos="0"/>
        </w:tabs>
        <w:ind w:firstLine="709"/>
        <w:jc w:val="both"/>
        <w:rPr>
          <w:spacing w:val="-2"/>
        </w:rPr>
      </w:pPr>
      <w:r w:rsidRPr="00716193">
        <w:rPr>
          <w:spacing w:val="-2"/>
        </w:rPr>
        <w:t xml:space="preserve">2.2.1. Към </w:t>
      </w:r>
      <w:r w:rsidRPr="00716193">
        <w:rPr>
          <w:spacing w:val="-6"/>
        </w:rPr>
        <w:t xml:space="preserve">31.12.2013 г. е 200 659 хил. лв., в т.ч. акционерен капитал - 212 050 хил. лв., резерви –  </w:t>
      </w:r>
      <w:r w:rsidRPr="00716193">
        <w:t>3 727 хил. лв. и натрупана</w:t>
      </w:r>
      <w:r w:rsidRPr="00716193">
        <w:rPr>
          <w:spacing w:val="-2"/>
        </w:rPr>
        <w:t xml:space="preserve"> загуба в размер на 15 118 хил. лв.;</w:t>
      </w:r>
    </w:p>
    <w:p w:rsidR="004F4CBD" w:rsidRPr="00716193" w:rsidRDefault="004F4CBD" w:rsidP="004F4CBD">
      <w:pPr>
        <w:widowControl w:val="0"/>
        <w:tabs>
          <w:tab w:val="left" w:pos="0"/>
        </w:tabs>
        <w:ind w:firstLine="709"/>
        <w:jc w:val="both"/>
        <w:rPr>
          <w:spacing w:val="-2"/>
        </w:rPr>
      </w:pPr>
      <w:r w:rsidRPr="00716193">
        <w:rPr>
          <w:spacing w:val="-2"/>
        </w:rPr>
        <w:t xml:space="preserve">2.2.2. Към 31.12.2014 г. е 193 314 хил. лв., в т.ч. акционерен капитал - 211 988 </w:t>
      </w:r>
      <w:r w:rsidR="00FC44B5" w:rsidRPr="00716193">
        <w:rPr>
          <w:spacing w:val="-2"/>
        </w:rPr>
        <w:br/>
      </w:r>
      <w:r w:rsidRPr="00716193">
        <w:rPr>
          <w:spacing w:val="-2"/>
        </w:rPr>
        <w:t>хил. лв.</w:t>
      </w:r>
      <w:r w:rsidRPr="00716193">
        <w:rPr>
          <w:rStyle w:val="FootnoteReference"/>
          <w:spacing w:val="-2"/>
        </w:rPr>
        <w:footnoteReference w:id="94"/>
      </w:r>
      <w:r w:rsidRPr="00716193">
        <w:rPr>
          <w:spacing w:val="-2"/>
        </w:rPr>
        <w:t>, резерви - 3 726 хил. лв. и натрупана загуба в размер на 22 400 хил. лв.</w:t>
      </w:r>
    </w:p>
    <w:p w:rsidR="004F4CBD" w:rsidRPr="00716193" w:rsidRDefault="00C71EBE" w:rsidP="004F4CBD">
      <w:pPr>
        <w:tabs>
          <w:tab w:val="left" w:pos="0"/>
        </w:tabs>
        <w:ind w:firstLine="709"/>
        <w:jc w:val="both"/>
      </w:pPr>
      <w:r w:rsidRPr="00716193">
        <w:t xml:space="preserve">Намаляването на собствения капитал на дружеството през одитирания период се дължи на увеличаване загубата на дружеството през 2014 г. спрямо 2013 г., както и на намаляване размера на акционерния капитал. </w:t>
      </w:r>
    </w:p>
    <w:p w:rsidR="00A607C7" w:rsidRPr="00716193" w:rsidRDefault="00A607C7" w:rsidP="004F4CBD">
      <w:pPr>
        <w:tabs>
          <w:tab w:val="left" w:pos="0"/>
        </w:tabs>
        <w:ind w:firstLine="709"/>
        <w:jc w:val="both"/>
        <w:rPr>
          <w:b/>
          <w:spacing w:val="-2"/>
        </w:rPr>
      </w:pPr>
    </w:p>
    <w:p w:rsidR="004F4CBD" w:rsidRPr="00716193" w:rsidRDefault="004F4CBD" w:rsidP="004F4CBD">
      <w:pPr>
        <w:tabs>
          <w:tab w:val="left" w:pos="0"/>
        </w:tabs>
        <w:ind w:firstLine="709"/>
        <w:jc w:val="both"/>
        <w:rPr>
          <w:b/>
          <w:bCs/>
        </w:rPr>
      </w:pPr>
      <w:r w:rsidRPr="00716193">
        <w:rPr>
          <w:b/>
          <w:spacing w:val="-2"/>
        </w:rPr>
        <w:t>2.3. В</w:t>
      </w:r>
      <w:r w:rsidRPr="00716193">
        <w:rPr>
          <w:b/>
          <w:bCs/>
        </w:rPr>
        <w:t>земания и задължения</w:t>
      </w:r>
      <w:r w:rsidRPr="00716193">
        <w:rPr>
          <w:rStyle w:val="FootnoteReference"/>
          <w:b/>
          <w:bCs/>
        </w:rPr>
        <w:footnoteReference w:id="95"/>
      </w:r>
    </w:p>
    <w:p w:rsidR="004F4CBD" w:rsidRPr="00716193" w:rsidRDefault="004F4CBD" w:rsidP="004F4CBD">
      <w:pPr>
        <w:tabs>
          <w:tab w:val="left" w:pos="0"/>
        </w:tabs>
        <w:ind w:firstLine="709"/>
        <w:jc w:val="both"/>
        <w:rPr>
          <w:b/>
          <w:bCs/>
        </w:rPr>
      </w:pPr>
      <w:r w:rsidRPr="00716193">
        <w:rPr>
          <w:b/>
          <w:bCs/>
        </w:rPr>
        <w:t>2.3.1. Вземания</w:t>
      </w:r>
    </w:p>
    <w:p w:rsidR="004F4CBD" w:rsidRPr="00716193" w:rsidRDefault="004F4CBD" w:rsidP="004F4CBD">
      <w:pPr>
        <w:tabs>
          <w:tab w:val="left" w:pos="0"/>
        </w:tabs>
        <w:ind w:firstLine="709"/>
        <w:jc w:val="both"/>
        <w:rPr>
          <w:bCs/>
        </w:rPr>
      </w:pPr>
      <w:r w:rsidRPr="00716193">
        <w:rPr>
          <w:bCs/>
        </w:rPr>
        <w:t xml:space="preserve">През одитирания период </w:t>
      </w:r>
      <w:r w:rsidR="000D7766" w:rsidRPr="00716193">
        <w:rPr>
          <w:bCs/>
        </w:rPr>
        <w:t>„</w:t>
      </w:r>
      <w:r w:rsidRPr="00716193">
        <w:rPr>
          <w:bCs/>
        </w:rPr>
        <w:t>НСБ</w:t>
      </w:r>
      <w:r w:rsidR="000D7766" w:rsidRPr="00716193">
        <w:rPr>
          <w:bCs/>
        </w:rPr>
        <w:t>“</w:t>
      </w:r>
      <w:r w:rsidRPr="00716193">
        <w:rPr>
          <w:bCs/>
        </w:rPr>
        <w:t xml:space="preserve"> ЕАД отчита само текущи вземания. </w:t>
      </w:r>
    </w:p>
    <w:p w:rsidR="004F4CBD" w:rsidRPr="00716193" w:rsidRDefault="004F4CBD" w:rsidP="004F4CBD">
      <w:pPr>
        <w:ind w:firstLine="709"/>
        <w:jc w:val="both"/>
      </w:pPr>
      <w:r w:rsidRPr="00716193">
        <w:t>Към 3</w:t>
      </w:r>
      <w:r w:rsidRPr="00716193">
        <w:rPr>
          <w:lang w:val="en-US"/>
        </w:rPr>
        <w:t>1</w:t>
      </w:r>
      <w:r w:rsidRPr="00716193">
        <w:t>.</w:t>
      </w:r>
      <w:r w:rsidRPr="00716193">
        <w:rPr>
          <w:lang w:val="en-US"/>
        </w:rPr>
        <w:t>12</w:t>
      </w:r>
      <w:r w:rsidRPr="00716193">
        <w:t>.201</w:t>
      </w:r>
      <w:r w:rsidRPr="00716193">
        <w:rPr>
          <w:lang w:val="en-US"/>
        </w:rPr>
        <w:t>4</w:t>
      </w:r>
      <w:r w:rsidRPr="00716193">
        <w:t xml:space="preserve"> г. текущите вземания на дружеството по отчетна стойност възлизат на </w:t>
      </w:r>
      <w:r w:rsidRPr="00716193">
        <w:rPr>
          <w:lang w:val="en-US"/>
        </w:rPr>
        <w:t>3 435</w:t>
      </w:r>
      <w:r w:rsidRPr="00716193">
        <w:t xml:space="preserve"> хил. лв., като спрямо 31.12.2013 г. абсолютният им размер е нараснал с 461 хил. лв. </w:t>
      </w:r>
    </w:p>
    <w:p w:rsidR="004F4CBD" w:rsidRDefault="004F4CBD" w:rsidP="004F4CBD">
      <w:pPr>
        <w:ind w:firstLine="709"/>
        <w:jc w:val="both"/>
      </w:pPr>
      <w:r w:rsidRPr="00716193">
        <w:t xml:space="preserve">Структура на вземанията на </w:t>
      </w:r>
      <w:r w:rsidR="000D7766" w:rsidRPr="00716193">
        <w:t>„</w:t>
      </w:r>
      <w:r w:rsidRPr="00716193">
        <w:t>НСБ</w:t>
      </w:r>
      <w:r w:rsidR="000D7766" w:rsidRPr="00716193">
        <w:t>“</w:t>
      </w:r>
      <w:r w:rsidRPr="00716193">
        <w:t xml:space="preserve"> ЕАД през одитирания период:</w:t>
      </w:r>
    </w:p>
    <w:p w:rsidR="00B61598" w:rsidRPr="00716193" w:rsidRDefault="00B61598" w:rsidP="004F4CBD">
      <w:pPr>
        <w:ind w:firstLine="709"/>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3230"/>
        <w:gridCol w:w="3231"/>
      </w:tblGrid>
      <w:tr w:rsidR="004F4CBD" w:rsidRPr="00716193" w:rsidTr="004F4CBD">
        <w:tc>
          <w:tcPr>
            <w:tcW w:w="3230" w:type="dxa"/>
            <w:shd w:val="clear" w:color="auto" w:fill="auto"/>
          </w:tcPr>
          <w:p w:rsidR="004F4CBD" w:rsidRPr="00716193" w:rsidRDefault="004F4CBD" w:rsidP="004F4CBD">
            <w:pPr>
              <w:tabs>
                <w:tab w:val="left" w:pos="0"/>
              </w:tabs>
              <w:jc w:val="center"/>
              <w:rPr>
                <w:bCs/>
                <w:sz w:val="16"/>
                <w:szCs w:val="16"/>
              </w:rPr>
            </w:pPr>
            <w:r w:rsidRPr="00716193">
              <w:rPr>
                <w:bCs/>
                <w:sz w:val="16"/>
                <w:szCs w:val="16"/>
              </w:rPr>
              <w:t>Вземания</w:t>
            </w:r>
          </w:p>
        </w:tc>
        <w:tc>
          <w:tcPr>
            <w:tcW w:w="3230" w:type="dxa"/>
            <w:shd w:val="clear" w:color="auto" w:fill="auto"/>
          </w:tcPr>
          <w:p w:rsidR="004F4CBD" w:rsidRPr="00716193" w:rsidRDefault="004F4CBD" w:rsidP="004F4CBD">
            <w:pPr>
              <w:tabs>
                <w:tab w:val="left" w:pos="0"/>
              </w:tabs>
              <w:jc w:val="center"/>
              <w:rPr>
                <w:bCs/>
                <w:sz w:val="16"/>
                <w:szCs w:val="16"/>
              </w:rPr>
            </w:pPr>
            <w:r w:rsidRPr="00716193">
              <w:rPr>
                <w:bCs/>
                <w:sz w:val="16"/>
                <w:szCs w:val="16"/>
              </w:rPr>
              <w:t xml:space="preserve">Към 31.12.2013 г. </w:t>
            </w:r>
          </w:p>
        </w:tc>
        <w:tc>
          <w:tcPr>
            <w:tcW w:w="3231" w:type="dxa"/>
            <w:shd w:val="clear" w:color="auto" w:fill="auto"/>
          </w:tcPr>
          <w:p w:rsidR="004F4CBD" w:rsidRPr="00716193" w:rsidRDefault="004F4CBD" w:rsidP="004F4CBD">
            <w:pPr>
              <w:tabs>
                <w:tab w:val="left" w:pos="0"/>
              </w:tabs>
              <w:jc w:val="center"/>
              <w:rPr>
                <w:bCs/>
                <w:sz w:val="16"/>
                <w:szCs w:val="16"/>
              </w:rPr>
            </w:pPr>
            <w:r w:rsidRPr="00716193">
              <w:rPr>
                <w:bCs/>
                <w:sz w:val="16"/>
                <w:szCs w:val="16"/>
              </w:rPr>
              <w:t>Към 31.12.2014 г.</w:t>
            </w:r>
          </w:p>
        </w:tc>
      </w:tr>
      <w:tr w:rsidR="004F4CBD" w:rsidRPr="00716193" w:rsidTr="004F4CBD">
        <w:tc>
          <w:tcPr>
            <w:tcW w:w="3230" w:type="dxa"/>
            <w:shd w:val="clear" w:color="auto" w:fill="auto"/>
          </w:tcPr>
          <w:p w:rsidR="004F4CBD" w:rsidRPr="00716193" w:rsidRDefault="004F4CBD" w:rsidP="004F4CBD">
            <w:pPr>
              <w:tabs>
                <w:tab w:val="left" w:pos="0"/>
              </w:tabs>
              <w:jc w:val="both"/>
              <w:rPr>
                <w:bCs/>
                <w:i/>
                <w:sz w:val="16"/>
                <w:szCs w:val="16"/>
              </w:rPr>
            </w:pPr>
            <w:r w:rsidRPr="00716193">
              <w:rPr>
                <w:bCs/>
                <w:i/>
                <w:sz w:val="16"/>
                <w:szCs w:val="16"/>
              </w:rPr>
              <w:t>Текущи:</w:t>
            </w:r>
          </w:p>
        </w:tc>
        <w:tc>
          <w:tcPr>
            <w:tcW w:w="3230" w:type="dxa"/>
            <w:shd w:val="clear" w:color="auto" w:fill="auto"/>
          </w:tcPr>
          <w:p w:rsidR="004F4CBD" w:rsidRPr="00716193" w:rsidRDefault="004F4CBD" w:rsidP="004F4CBD">
            <w:pPr>
              <w:tabs>
                <w:tab w:val="left" w:pos="0"/>
              </w:tabs>
              <w:jc w:val="both"/>
              <w:rPr>
                <w:bCs/>
                <w:sz w:val="16"/>
                <w:szCs w:val="16"/>
              </w:rPr>
            </w:pPr>
          </w:p>
        </w:tc>
        <w:tc>
          <w:tcPr>
            <w:tcW w:w="3231" w:type="dxa"/>
            <w:shd w:val="clear" w:color="auto" w:fill="auto"/>
          </w:tcPr>
          <w:p w:rsidR="004F4CBD" w:rsidRPr="00716193" w:rsidRDefault="004F4CBD" w:rsidP="004F4CBD">
            <w:pPr>
              <w:tabs>
                <w:tab w:val="left" w:pos="0"/>
              </w:tabs>
              <w:jc w:val="both"/>
              <w:rPr>
                <w:bCs/>
                <w:sz w:val="16"/>
                <w:szCs w:val="16"/>
              </w:rPr>
            </w:pPr>
          </w:p>
        </w:tc>
      </w:tr>
      <w:tr w:rsidR="004F4CBD" w:rsidRPr="00716193" w:rsidTr="004F4CBD">
        <w:tc>
          <w:tcPr>
            <w:tcW w:w="3230" w:type="dxa"/>
            <w:shd w:val="clear" w:color="auto" w:fill="auto"/>
          </w:tcPr>
          <w:p w:rsidR="004F4CBD" w:rsidRPr="00716193" w:rsidRDefault="004F4CBD" w:rsidP="004F4CBD">
            <w:pPr>
              <w:numPr>
                <w:ilvl w:val="0"/>
                <w:numId w:val="4"/>
              </w:numPr>
              <w:tabs>
                <w:tab w:val="left" w:pos="0"/>
              </w:tabs>
              <w:jc w:val="both"/>
              <w:rPr>
                <w:bCs/>
                <w:sz w:val="16"/>
                <w:szCs w:val="16"/>
              </w:rPr>
            </w:pPr>
            <w:r w:rsidRPr="00716193">
              <w:rPr>
                <w:bCs/>
                <w:sz w:val="16"/>
                <w:szCs w:val="16"/>
              </w:rPr>
              <w:t>Търговски</w:t>
            </w:r>
            <w:r w:rsidRPr="00716193">
              <w:rPr>
                <w:bCs/>
                <w:sz w:val="16"/>
                <w:szCs w:val="16"/>
                <w:lang w:val="en-US"/>
              </w:rPr>
              <w:t xml:space="preserve"> </w:t>
            </w:r>
            <w:r w:rsidRPr="00716193">
              <w:rPr>
                <w:bCs/>
                <w:sz w:val="16"/>
                <w:szCs w:val="16"/>
              </w:rPr>
              <w:t xml:space="preserve"> вземания</w:t>
            </w:r>
          </w:p>
        </w:tc>
        <w:tc>
          <w:tcPr>
            <w:tcW w:w="3230" w:type="dxa"/>
            <w:shd w:val="clear" w:color="auto" w:fill="auto"/>
          </w:tcPr>
          <w:p w:rsidR="004F4CBD" w:rsidRPr="00716193" w:rsidRDefault="004F4CBD" w:rsidP="004F4CBD">
            <w:pPr>
              <w:tabs>
                <w:tab w:val="left" w:pos="0"/>
              </w:tabs>
              <w:jc w:val="center"/>
              <w:rPr>
                <w:bCs/>
                <w:sz w:val="16"/>
                <w:szCs w:val="16"/>
              </w:rPr>
            </w:pPr>
            <w:r w:rsidRPr="00716193">
              <w:rPr>
                <w:bCs/>
                <w:sz w:val="16"/>
                <w:szCs w:val="16"/>
              </w:rPr>
              <w:t>1 154 хил. лв.</w:t>
            </w:r>
          </w:p>
        </w:tc>
        <w:tc>
          <w:tcPr>
            <w:tcW w:w="3231" w:type="dxa"/>
            <w:shd w:val="clear" w:color="auto" w:fill="auto"/>
          </w:tcPr>
          <w:p w:rsidR="004F4CBD" w:rsidRPr="00716193" w:rsidRDefault="004F4CBD" w:rsidP="004F4CBD">
            <w:pPr>
              <w:tabs>
                <w:tab w:val="left" w:pos="0"/>
              </w:tabs>
              <w:jc w:val="center"/>
              <w:rPr>
                <w:bCs/>
                <w:sz w:val="16"/>
                <w:szCs w:val="16"/>
              </w:rPr>
            </w:pPr>
            <w:r w:rsidRPr="00716193">
              <w:rPr>
                <w:bCs/>
                <w:sz w:val="16"/>
                <w:szCs w:val="16"/>
              </w:rPr>
              <w:t>1 605 хил. лв.</w:t>
            </w:r>
          </w:p>
        </w:tc>
      </w:tr>
      <w:tr w:rsidR="004F4CBD" w:rsidRPr="00716193" w:rsidTr="004F4CBD">
        <w:tc>
          <w:tcPr>
            <w:tcW w:w="3230" w:type="dxa"/>
            <w:shd w:val="clear" w:color="auto" w:fill="auto"/>
          </w:tcPr>
          <w:p w:rsidR="004F4CBD" w:rsidRPr="00716193" w:rsidRDefault="004F4CBD" w:rsidP="004F4CBD">
            <w:pPr>
              <w:numPr>
                <w:ilvl w:val="0"/>
                <w:numId w:val="4"/>
              </w:numPr>
              <w:tabs>
                <w:tab w:val="left" w:pos="0"/>
              </w:tabs>
              <w:jc w:val="both"/>
              <w:rPr>
                <w:bCs/>
                <w:sz w:val="16"/>
                <w:szCs w:val="16"/>
              </w:rPr>
            </w:pPr>
            <w:r w:rsidRPr="00716193">
              <w:rPr>
                <w:bCs/>
                <w:sz w:val="16"/>
                <w:szCs w:val="16"/>
              </w:rPr>
              <w:t>Данъчни вземания</w:t>
            </w:r>
          </w:p>
        </w:tc>
        <w:tc>
          <w:tcPr>
            <w:tcW w:w="3230" w:type="dxa"/>
            <w:shd w:val="clear" w:color="auto" w:fill="auto"/>
          </w:tcPr>
          <w:p w:rsidR="004F4CBD" w:rsidRPr="00716193" w:rsidRDefault="004F4CBD" w:rsidP="004F4CBD">
            <w:pPr>
              <w:tabs>
                <w:tab w:val="left" w:pos="0"/>
              </w:tabs>
              <w:jc w:val="center"/>
              <w:rPr>
                <w:bCs/>
                <w:sz w:val="16"/>
                <w:szCs w:val="16"/>
              </w:rPr>
            </w:pPr>
            <w:r w:rsidRPr="00716193">
              <w:rPr>
                <w:bCs/>
                <w:sz w:val="16"/>
                <w:szCs w:val="16"/>
              </w:rPr>
              <w:t xml:space="preserve">     </w:t>
            </w:r>
            <w:r w:rsidRPr="00716193">
              <w:rPr>
                <w:bCs/>
                <w:sz w:val="16"/>
                <w:szCs w:val="16"/>
                <w:lang w:val="en-US"/>
              </w:rPr>
              <w:t xml:space="preserve">49 </w:t>
            </w:r>
            <w:r w:rsidRPr="00716193">
              <w:rPr>
                <w:bCs/>
                <w:sz w:val="16"/>
                <w:szCs w:val="16"/>
              </w:rPr>
              <w:t>хил. лв.</w:t>
            </w:r>
          </w:p>
        </w:tc>
        <w:tc>
          <w:tcPr>
            <w:tcW w:w="3231" w:type="dxa"/>
            <w:shd w:val="clear" w:color="auto" w:fill="auto"/>
          </w:tcPr>
          <w:p w:rsidR="004F4CBD" w:rsidRPr="00716193" w:rsidRDefault="004F4CBD" w:rsidP="004F4CBD">
            <w:pPr>
              <w:tabs>
                <w:tab w:val="left" w:pos="0"/>
              </w:tabs>
              <w:jc w:val="center"/>
              <w:rPr>
                <w:bCs/>
                <w:sz w:val="16"/>
                <w:szCs w:val="16"/>
              </w:rPr>
            </w:pPr>
            <w:r w:rsidRPr="00716193">
              <w:rPr>
                <w:bCs/>
                <w:sz w:val="16"/>
                <w:szCs w:val="16"/>
              </w:rPr>
              <w:t xml:space="preserve">     49 хил. лв.</w:t>
            </w:r>
          </w:p>
        </w:tc>
      </w:tr>
      <w:tr w:rsidR="004F4CBD" w:rsidRPr="00716193" w:rsidTr="004F4CBD">
        <w:tc>
          <w:tcPr>
            <w:tcW w:w="3230" w:type="dxa"/>
            <w:shd w:val="clear" w:color="auto" w:fill="auto"/>
          </w:tcPr>
          <w:p w:rsidR="004F4CBD" w:rsidRPr="00716193" w:rsidRDefault="004F4CBD" w:rsidP="004F4CBD">
            <w:pPr>
              <w:numPr>
                <w:ilvl w:val="0"/>
                <w:numId w:val="4"/>
              </w:numPr>
              <w:tabs>
                <w:tab w:val="left" w:pos="0"/>
              </w:tabs>
              <w:jc w:val="both"/>
              <w:rPr>
                <w:bCs/>
                <w:sz w:val="16"/>
                <w:szCs w:val="16"/>
              </w:rPr>
            </w:pPr>
            <w:r w:rsidRPr="00716193">
              <w:rPr>
                <w:bCs/>
                <w:sz w:val="16"/>
                <w:szCs w:val="16"/>
              </w:rPr>
              <w:t>Други вземания</w:t>
            </w:r>
          </w:p>
        </w:tc>
        <w:tc>
          <w:tcPr>
            <w:tcW w:w="3230" w:type="dxa"/>
            <w:shd w:val="clear" w:color="auto" w:fill="auto"/>
          </w:tcPr>
          <w:p w:rsidR="004F4CBD" w:rsidRPr="00716193" w:rsidRDefault="004F4CBD" w:rsidP="004F4CBD">
            <w:pPr>
              <w:tabs>
                <w:tab w:val="left" w:pos="0"/>
              </w:tabs>
              <w:jc w:val="center"/>
              <w:rPr>
                <w:bCs/>
                <w:sz w:val="16"/>
                <w:szCs w:val="16"/>
              </w:rPr>
            </w:pPr>
            <w:r w:rsidRPr="00716193">
              <w:rPr>
                <w:bCs/>
                <w:sz w:val="16"/>
                <w:szCs w:val="16"/>
              </w:rPr>
              <w:t>1 771 хил. лв.</w:t>
            </w:r>
          </w:p>
        </w:tc>
        <w:tc>
          <w:tcPr>
            <w:tcW w:w="3231" w:type="dxa"/>
            <w:shd w:val="clear" w:color="auto" w:fill="auto"/>
          </w:tcPr>
          <w:p w:rsidR="004F4CBD" w:rsidRPr="00716193" w:rsidRDefault="004F4CBD" w:rsidP="004F4CBD">
            <w:pPr>
              <w:tabs>
                <w:tab w:val="left" w:pos="0"/>
              </w:tabs>
              <w:jc w:val="center"/>
              <w:rPr>
                <w:bCs/>
                <w:sz w:val="16"/>
                <w:szCs w:val="16"/>
              </w:rPr>
            </w:pPr>
            <w:r w:rsidRPr="00716193">
              <w:rPr>
                <w:bCs/>
                <w:sz w:val="16"/>
                <w:szCs w:val="16"/>
              </w:rPr>
              <w:t>1 781 хил. лв.</w:t>
            </w:r>
          </w:p>
        </w:tc>
      </w:tr>
      <w:tr w:rsidR="004F4CBD" w:rsidRPr="00716193" w:rsidTr="004F4CBD">
        <w:tc>
          <w:tcPr>
            <w:tcW w:w="3230" w:type="dxa"/>
            <w:shd w:val="clear" w:color="auto" w:fill="auto"/>
          </w:tcPr>
          <w:p w:rsidR="004F4CBD" w:rsidRPr="00716193" w:rsidRDefault="004F4CBD" w:rsidP="00D167F1">
            <w:pPr>
              <w:tabs>
                <w:tab w:val="left" w:pos="0"/>
              </w:tabs>
              <w:jc w:val="both"/>
              <w:rPr>
                <w:bCs/>
                <w:i/>
                <w:sz w:val="16"/>
                <w:szCs w:val="16"/>
              </w:rPr>
            </w:pPr>
            <w:r w:rsidRPr="00716193">
              <w:rPr>
                <w:bCs/>
                <w:i/>
                <w:sz w:val="16"/>
                <w:szCs w:val="16"/>
              </w:rPr>
              <w:t>Общо:</w:t>
            </w:r>
          </w:p>
        </w:tc>
        <w:tc>
          <w:tcPr>
            <w:tcW w:w="3230" w:type="dxa"/>
            <w:shd w:val="clear" w:color="auto" w:fill="auto"/>
          </w:tcPr>
          <w:p w:rsidR="004F4CBD" w:rsidRPr="00716193" w:rsidRDefault="004F4CBD" w:rsidP="00D167F1">
            <w:pPr>
              <w:tabs>
                <w:tab w:val="left" w:pos="0"/>
              </w:tabs>
              <w:ind w:left="31"/>
              <w:jc w:val="center"/>
              <w:rPr>
                <w:bCs/>
                <w:i/>
                <w:sz w:val="16"/>
                <w:szCs w:val="16"/>
              </w:rPr>
            </w:pPr>
            <w:r w:rsidRPr="00716193">
              <w:rPr>
                <w:bCs/>
                <w:i/>
                <w:sz w:val="16"/>
                <w:szCs w:val="16"/>
              </w:rPr>
              <w:t>2</w:t>
            </w:r>
            <w:r w:rsidR="00B33D2C" w:rsidRPr="00716193">
              <w:rPr>
                <w:bCs/>
                <w:i/>
                <w:sz w:val="16"/>
                <w:szCs w:val="16"/>
                <w:lang w:val="en-US"/>
              </w:rPr>
              <w:t xml:space="preserve"> </w:t>
            </w:r>
            <w:r w:rsidRPr="00716193">
              <w:rPr>
                <w:bCs/>
                <w:i/>
                <w:sz w:val="16"/>
                <w:szCs w:val="16"/>
              </w:rPr>
              <w:t> 974 хил. лв.</w:t>
            </w:r>
          </w:p>
        </w:tc>
        <w:tc>
          <w:tcPr>
            <w:tcW w:w="3231" w:type="dxa"/>
            <w:shd w:val="clear" w:color="auto" w:fill="auto"/>
          </w:tcPr>
          <w:p w:rsidR="004F4CBD" w:rsidRPr="00716193" w:rsidRDefault="004F4CBD" w:rsidP="00D167F1">
            <w:pPr>
              <w:tabs>
                <w:tab w:val="left" w:pos="0"/>
              </w:tabs>
              <w:ind w:left="61"/>
              <w:jc w:val="center"/>
              <w:rPr>
                <w:bCs/>
                <w:i/>
                <w:sz w:val="16"/>
                <w:szCs w:val="16"/>
              </w:rPr>
            </w:pPr>
            <w:r w:rsidRPr="00716193">
              <w:rPr>
                <w:bCs/>
                <w:i/>
                <w:sz w:val="16"/>
                <w:szCs w:val="16"/>
              </w:rPr>
              <w:t>3 435 хил. лв.</w:t>
            </w:r>
          </w:p>
        </w:tc>
      </w:tr>
    </w:tbl>
    <w:p w:rsidR="004F4CBD" w:rsidRPr="00716193" w:rsidRDefault="004F4CBD" w:rsidP="004F4CBD">
      <w:pPr>
        <w:tabs>
          <w:tab w:val="left" w:pos="0"/>
        </w:tabs>
        <w:ind w:firstLine="709"/>
        <w:jc w:val="both"/>
        <w:rPr>
          <w:bCs/>
        </w:rPr>
      </w:pPr>
    </w:p>
    <w:p w:rsidR="004F4CBD" w:rsidRPr="00716193" w:rsidRDefault="004F4CBD" w:rsidP="004F4CBD">
      <w:pPr>
        <w:tabs>
          <w:tab w:val="left" w:pos="0"/>
        </w:tabs>
        <w:ind w:firstLine="709"/>
        <w:jc w:val="both"/>
        <w:rPr>
          <w:bCs/>
        </w:rPr>
      </w:pPr>
      <w:r w:rsidRPr="00716193">
        <w:rPr>
          <w:bCs/>
        </w:rPr>
        <w:t xml:space="preserve">С най-голям относителен дял са други </w:t>
      </w:r>
      <w:r w:rsidR="00734E74">
        <w:rPr>
          <w:bCs/>
        </w:rPr>
        <w:t xml:space="preserve">вземания, които през 2014 г. са </w:t>
      </w:r>
      <w:r w:rsidRPr="00716193">
        <w:rPr>
          <w:bCs/>
        </w:rPr>
        <w:t xml:space="preserve">1 781 хил. лв., като размерът им е нараснал с 10 хил. лв. спрямо 2013 г., включващи присъдени вземания, вземания по съдебни спорове и вземания за префактурирани консумативи. </w:t>
      </w:r>
    </w:p>
    <w:p w:rsidR="004F4CBD" w:rsidRPr="00716193" w:rsidRDefault="004F4CBD" w:rsidP="004F4CBD">
      <w:pPr>
        <w:tabs>
          <w:tab w:val="left" w:pos="0"/>
        </w:tabs>
        <w:ind w:firstLine="709"/>
        <w:jc w:val="both"/>
        <w:rPr>
          <w:bCs/>
        </w:rPr>
      </w:pPr>
      <w:r w:rsidRPr="00716193">
        <w:rPr>
          <w:bCs/>
        </w:rPr>
        <w:t>Към 31.12.2014 г. съдебните вземания на дружеството за неплатени наеми и консумативи от наематели са 1 288 хил. лв.</w:t>
      </w:r>
      <w:r w:rsidRPr="00716193">
        <w:rPr>
          <w:rStyle w:val="FootnoteReference"/>
          <w:bCs/>
        </w:rPr>
        <w:footnoteReference w:id="96"/>
      </w:r>
      <w:r w:rsidRPr="00716193">
        <w:rPr>
          <w:bCs/>
        </w:rPr>
        <w:t xml:space="preserve"> </w:t>
      </w:r>
    </w:p>
    <w:p w:rsidR="004F4CBD" w:rsidRPr="00716193" w:rsidRDefault="004F4CBD" w:rsidP="004F4CBD">
      <w:pPr>
        <w:tabs>
          <w:tab w:val="left" w:pos="0"/>
        </w:tabs>
        <w:ind w:firstLine="709"/>
        <w:jc w:val="both"/>
        <w:rPr>
          <w:bCs/>
          <w:lang w:val="en-US"/>
        </w:rPr>
      </w:pPr>
      <w:r w:rsidRPr="00716193">
        <w:rPr>
          <w:bCs/>
        </w:rPr>
        <w:lastRenderedPageBreak/>
        <w:t xml:space="preserve">Следват търговските вземания, включващи вземания от ползватели на </w:t>
      </w:r>
      <w:r w:rsidRPr="00716193">
        <w:t>услуги със спортни съоръжения и наематели на помещения и площи, както и</w:t>
      </w:r>
      <w:r w:rsidRPr="00716193">
        <w:rPr>
          <w:bCs/>
        </w:rPr>
        <w:t xml:space="preserve"> предплатени суми, които нарастват значително, като през 2014 г. са с 451 хил. лв. по</w:t>
      </w:r>
      <w:r w:rsidR="00FC44B5" w:rsidRPr="00716193">
        <w:rPr>
          <w:bCs/>
        </w:rPr>
        <w:t xml:space="preserve">вече спрямо предходната година. </w:t>
      </w:r>
      <w:r w:rsidRPr="00716193">
        <w:rPr>
          <w:bCs/>
        </w:rPr>
        <w:t>Вземанията от ползватели под наем на помещения и площи на дружеството към 31.12.2014 г. са формирани основно от неплатени наеми и консумативи и са на обща стойност 1 203 хил. лв., като 55 на сто от тях са формирани от федерации и клубове.</w:t>
      </w:r>
      <w:r w:rsidRPr="00716193">
        <w:rPr>
          <w:rStyle w:val="FootnoteReference"/>
          <w:bCs/>
        </w:rPr>
        <w:footnoteReference w:id="97"/>
      </w:r>
    </w:p>
    <w:p w:rsidR="004F4CBD" w:rsidRPr="00716193" w:rsidRDefault="004F4CBD" w:rsidP="004F4CBD">
      <w:pPr>
        <w:tabs>
          <w:tab w:val="left" w:pos="0"/>
        </w:tabs>
        <w:ind w:firstLine="709"/>
        <w:jc w:val="both"/>
        <w:rPr>
          <w:bCs/>
        </w:rPr>
      </w:pPr>
      <w:r w:rsidRPr="00716193">
        <w:rPr>
          <w:bCs/>
        </w:rPr>
        <w:t xml:space="preserve">Дружеството отчита и данъчни вземания, които през 2013 г. и 2014 г. са в размер на </w:t>
      </w:r>
      <w:r w:rsidR="00B61598">
        <w:rPr>
          <w:bCs/>
        </w:rPr>
        <w:t xml:space="preserve">  </w:t>
      </w:r>
      <w:r w:rsidRPr="00716193">
        <w:rPr>
          <w:bCs/>
        </w:rPr>
        <w:t>49 хил. лв.</w:t>
      </w:r>
    </w:p>
    <w:p w:rsidR="004F4CBD" w:rsidRPr="00716193" w:rsidRDefault="005B314D" w:rsidP="004F4CBD">
      <w:pPr>
        <w:tabs>
          <w:tab w:val="left" w:pos="0"/>
        </w:tabs>
        <w:ind w:firstLine="709"/>
        <w:jc w:val="both"/>
        <w:rPr>
          <w:bCs/>
        </w:rPr>
      </w:pPr>
      <w:r w:rsidRPr="00716193">
        <w:rPr>
          <w:bCs/>
        </w:rPr>
        <w:t xml:space="preserve"> По време на извършване на одита</w:t>
      </w:r>
      <w:r w:rsidR="004F4CBD" w:rsidRPr="00716193">
        <w:rPr>
          <w:bCs/>
        </w:rPr>
        <w:t xml:space="preserve"> са предприети действия за събиране на едни от най-значимите вземания към 31.12.2014 г., в резултат на </w:t>
      </w:r>
      <w:r w:rsidR="002F0E9E" w:rsidRPr="00716193">
        <w:rPr>
          <w:bCs/>
        </w:rPr>
        <w:t>което е постигнато следното</w:t>
      </w:r>
      <w:r w:rsidR="004F4CBD" w:rsidRPr="00716193">
        <w:rPr>
          <w:bCs/>
        </w:rPr>
        <w:t>: вземане от Българска федерация по волейбол за 131 хил.</w:t>
      </w:r>
      <w:r w:rsidR="002F0E9E" w:rsidRPr="00716193">
        <w:rPr>
          <w:bCs/>
        </w:rPr>
        <w:t xml:space="preserve"> </w:t>
      </w:r>
      <w:r w:rsidR="004F4CBD" w:rsidRPr="00716193">
        <w:rPr>
          <w:bCs/>
        </w:rPr>
        <w:t>лв., от които остават за погасяване 51 хил. лв.; вземане от Българска федерация по тенис за 128 хил. лв., погасено на 20.02.2015 г.; вземане от ПФК Лудогорец 1945 ЕАД от 31 хил. лв. – погасено на 15.01.2015 г.; вземане от Българска федерация по бокс за 30 хил. лв. – погасено на 12.03.2015 г.; вземане от Сдружение „Софийски тенис клуб“ за 28 хил. лв. – погасено на 26.02.2015 г.; вземане от „Карма Евентс“ ЕООД за 23 хил. лв. – по</w:t>
      </w:r>
      <w:r w:rsidR="002F0E9E" w:rsidRPr="00716193">
        <w:rPr>
          <w:bCs/>
        </w:rPr>
        <w:t xml:space="preserve">гасено на  13.05.2015 г. </w:t>
      </w:r>
      <w:r w:rsidR="002F0E9E" w:rsidRPr="00716193">
        <w:rPr>
          <w:bCs/>
          <w:spacing w:val="-2"/>
        </w:rPr>
        <w:t>и др</w:t>
      </w:r>
      <w:r w:rsidR="004F4CBD" w:rsidRPr="00716193">
        <w:rPr>
          <w:bCs/>
          <w:spacing w:val="-2"/>
        </w:rPr>
        <w:t>. Дружеството е предприело и действия</w:t>
      </w:r>
      <w:r w:rsidR="002F0E9E" w:rsidRPr="00716193">
        <w:rPr>
          <w:bCs/>
          <w:spacing w:val="-2"/>
        </w:rPr>
        <w:t xml:space="preserve"> за събиране на вземанията си </w:t>
      </w:r>
      <w:r w:rsidR="004F4CBD" w:rsidRPr="00716193">
        <w:rPr>
          <w:bCs/>
          <w:spacing w:val="-2"/>
        </w:rPr>
        <w:t>по съдебен ред.</w:t>
      </w:r>
      <w:r w:rsidR="004F4CBD" w:rsidRPr="00716193">
        <w:rPr>
          <w:rStyle w:val="FootnoteReference"/>
          <w:bCs/>
          <w:spacing w:val="-2"/>
        </w:rPr>
        <w:footnoteReference w:id="98"/>
      </w:r>
    </w:p>
    <w:p w:rsidR="002F0E9E" w:rsidRPr="00716193" w:rsidRDefault="002F0E9E" w:rsidP="004F4CBD">
      <w:pPr>
        <w:tabs>
          <w:tab w:val="left" w:pos="0"/>
        </w:tabs>
        <w:ind w:firstLine="709"/>
        <w:jc w:val="both"/>
        <w:rPr>
          <w:b/>
          <w:bCs/>
        </w:rPr>
      </w:pPr>
    </w:p>
    <w:p w:rsidR="004F4CBD" w:rsidRPr="00716193" w:rsidRDefault="004F4CBD" w:rsidP="004F4CBD">
      <w:pPr>
        <w:tabs>
          <w:tab w:val="left" w:pos="0"/>
        </w:tabs>
        <w:ind w:firstLine="709"/>
        <w:jc w:val="both"/>
        <w:rPr>
          <w:b/>
          <w:bCs/>
        </w:rPr>
      </w:pPr>
      <w:r w:rsidRPr="00716193">
        <w:rPr>
          <w:b/>
          <w:bCs/>
        </w:rPr>
        <w:t>2.3.2. Задължения</w:t>
      </w:r>
    </w:p>
    <w:p w:rsidR="004F4CBD" w:rsidRPr="00716193" w:rsidRDefault="004F4CBD" w:rsidP="004F4CBD">
      <w:pPr>
        <w:tabs>
          <w:tab w:val="left" w:pos="0"/>
        </w:tabs>
        <w:ind w:firstLine="709"/>
        <w:jc w:val="both"/>
        <w:rPr>
          <w:bCs/>
        </w:rPr>
      </w:pPr>
      <w:r w:rsidRPr="00716193">
        <w:rPr>
          <w:bCs/>
        </w:rPr>
        <w:t xml:space="preserve">През одитирания период </w:t>
      </w:r>
      <w:r w:rsidR="000D7766" w:rsidRPr="00716193">
        <w:rPr>
          <w:bCs/>
        </w:rPr>
        <w:t>„</w:t>
      </w:r>
      <w:r w:rsidRPr="00716193">
        <w:rPr>
          <w:bCs/>
        </w:rPr>
        <w:t>НСБ</w:t>
      </w:r>
      <w:r w:rsidR="000D7766" w:rsidRPr="00716193">
        <w:rPr>
          <w:bCs/>
        </w:rPr>
        <w:t>“</w:t>
      </w:r>
      <w:r w:rsidRPr="00716193">
        <w:rPr>
          <w:bCs/>
        </w:rPr>
        <w:t xml:space="preserve"> ЕАД отчита текущи и нетекущи</w:t>
      </w:r>
      <w:r w:rsidRPr="00716193">
        <w:rPr>
          <w:rStyle w:val="FootnoteReference"/>
          <w:bCs/>
          <w:lang w:val="en-US"/>
        </w:rPr>
        <w:footnoteReference w:id="99"/>
      </w:r>
      <w:r w:rsidRPr="00716193">
        <w:rPr>
          <w:bCs/>
        </w:rPr>
        <w:t xml:space="preserve"> задължения.</w:t>
      </w:r>
    </w:p>
    <w:p w:rsidR="004F4CBD" w:rsidRPr="00716193" w:rsidRDefault="004F4CBD" w:rsidP="004F4CBD">
      <w:pPr>
        <w:ind w:firstLine="709"/>
        <w:jc w:val="both"/>
      </w:pPr>
      <w:r w:rsidRPr="00716193">
        <w:t>Към 3</w:t>
      </w:r>
      <w:r w:rsidRPr="00716193">
        <w:rPr>
          <w:lang w:val="en-US"/>
        </w:rPr>
        <w:t>1</w:t>
      </w:r>
      <w:r w:rsidRPr="00716193">
        <w:t>.</w:t>
      </w:r>
      <w:r w:rsidRPr="00716193">
        <w:rPr>
          <w:lang w:val="en-US"/>
        </w:rPr>
        <w:t>12</w:t>
      </w:r>
      <w:r w:rsidRPr="00716193">
        <w:t>.201</w:t>
      </w:r>
      <w:r w:rsidRPr="00716193">
        <w:rPr>
          <w:lang w:val="en-US"/>
        </w:rPr>
        <w:t>4</w:t>
      </w:r>
      <w:r w:rsidRPr="00716193">
        <w:t xml:space="preserve"> г. задълженията на дружеството по отчетна стойност възлизат на </w:t>
      </w:r>
      <w:r w:rsidR="00FC44B5" w:rsidRPr="00716193">
        <w:br/>
      </w:r>
      <w:r w:rsidRPr="00716193">
        <w:rPr>
          <w:bCs/>
        </w:rPr>
        <w:t>5 116 хил. лв.</w:t>
      </w:r>
      <w:r w:rsidRPr="00716193">
        <w:t>, като спрямо 31.12.2013 г. абсолютният им размер е нараснал с 1 082 хил. лв</w:t>
      </w:r>
      <w:r w:rsidR="00C17492" w:rsidRPr="00716193">
        <w:t>.</w:t>
      </w:r>
      <w:r w:rsidR="00C17492" w:rsidRPr="00716193">
        <w:rPr>
          <w:bCs/>
        </w:rPr>
        <w:t xml:space="preserve"> или с 27 на сто</w:t>
      </w:r>
      <w:r w:rsidRPr="00716193">
        <w:t xml:space="preserve">. </w:t>
      </w:r>
    </w:p>
    <w:p w:rsidR="004F4CBD" w:rsidRPr="00716193" w:rsidRDefault="004F4CBD" w:rsidP="004F4CBD">
      <w:pPr>
        <w:ind w:firstLine="709"/>
        <w:jc w:val="both"/>
      </w:pPr>
      <w:r w:rsidRPr="00716193">
        <w:t xml:space="preserve">Структура на задълженията на </w:t>
      </w:r>
      <w:r w:rsidR="000D7766" w:rsidRPr="00716193">
        <w:t>„</w:t>
      </w:r>
      <w:r w:rsidRPr="00716193">
        <w:t>НСБ</w:t>
      </w:r>
      <w:r w:rsidR="000D7766" w:rsidRPr="00716193">
        <w:t>“</w:t>
      </w:r>
      <w:r w:rsidRPr="00716193">
        <w:t xml:space="preserve"> ЕАД през одитирания период:</w:t>
      </w:r>
    </w:p>
    <w:p w:rsidR="004F4CBD" w:rsidRPr="00716193" w:rsidRDefault="004F4CBD" w:rsidP="004F4CBD">
      <w:pPr>
        <w:ind w:firstLine="709"/>
        <w:jc w:val="both"/>
        <w:rPr>
          <w:b/>
          <w:bCs/>
        </w:rPr>
      </w:pPr>
    </w:p>
    <w:tbl>
      <w:tblPr>
        <w:tblpPr w:leftFromText="180" w:rightFromText="180" w:vertAnchor="text" w:horzAnchor="margin" w:tblpX="250" w:tblpY="13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55"/>
        <w:gridCol w:w="3899"/>
      </w:tblGrid>
      <w:tr w:rsidR="004F4CBD" w:rsidRPr="00716193" w:rsidTr="00B61598">
        <w:tc>
          <w:tcPr>
            <w:tcW w:w="2802" w:type="dxa"/>
            <w:shd w:val="clear" w:color="auto" w:fill="auto"/>
          </w:tcPr>
          <w:p w:rsidR="004F4CBD" w:rsidRPr="00B61598" w:rsidRDefault="004F4CBD" w:rsidP="00B61598">
            <w:pPr>
              <w:tabs>
                <w:tab w:val="left" w:pos="0"/>
              </w:tabs>
              <w:jc w:val="center"/>
              <w:rPr>
                <w:b/>
                <w:bCs/>
                <w:i/>
                <w:sz w:val="16"/>
                <w:szCs w:val="16"/>
              </w:rPr>
            </w:pPr>
            <w:r w:rsidRPr="00B61598">
              <w:rPr>
                <w:b/>
                <w:bCs/>
                <w:i/>
                <w:sz w:val="16"/>
                <w:szCs w:val="16"/>
              </w:rPr>
              <w:t>Задължения</w:t>
            </w:r>
          </w:p>
        </w:tc>
        <w:tc>
          <w:tcPr>
            <w:tcW w:w="2655" w:type="dxa"/>
            <w:shd w:val="clear" w:color="auto" w:fill="auto"/>
          </w:tcPr>
          <w:p w:rsidR="004F4CBD" w:rsidRPr="00B61598" w:rsidRDefault="004F4CBD" w:rsidP="00B61598">
            <w:pPr>
              <w:tabs>
                <w:tab w:val="left" w:pos="0"/>
              </w:tabs>
              <w:jc w:val="center"/>
              <w:rPr>
                <w:b/>
                <w:bCs/>
                <w:i/>
                <w:sz w:val="16"/>
                <w:szCs w:val="16"/>
              </w:rPr>
            </w:pPr>
            <w:r w:rsidRPr="00B61598">
              <w:rPr>
                <w:b/>
                <w:bCs/>
                <w:i/>
                <w:sz w:val="16"/>
                <w:szCs w:val="16"/>
              </w:rPr>
              <w:t>Към 31.12.2013 г.</w:t>
            </w:r>
          </w:p>
        </w:tc>
        <w:tc>
          <w:tcPr>
            <w:tcW w:w="3899" w:type="dxa"/>
            <w:shd w:val="clear" w:color="auto" w:fill="auto"/>
          </w:tcPr>
          <w:p w:rsidR="004F4CBD" w:rsidRPr="00B61598" w:rsidRDefault="004F4CBD" w:rsidP="00B61598">
            <w:pPr>
              <w:tabs>
                <w:tab w:val="left" w:pos="0"/>
              </w:tabs>
              <w:jc w:val="center"/>
              <w:rPr>
                <w:b/>
                <w:bCs/>
                <w:i/>
                <w:sz w:val="16"/>
                <w:szCs w:val="16"/>
              </w:rPr>
            </w:pPr>
            <w:r w:rsidRPr="00B61598">
              <w:rPr>
                <w:b/>
                <w:bCs/>
                <w:i/>
                <w:sz w:val="16"/>
                <w:szCs w:val="16"/>
              </w:rPr>
              <w:t>Към 31.12.2014 г.</w:t>
            </w:r>
          </w:p>
        </w:tc>
      </w:tr>
      <w:tr w:rsidR="004F4CBD" w:rsidRPr="00716193" w:rsidTr="00B61598">
        <w:tc>
          <w:tcPr>
            <w:tcW w:w="2802" w:type="dxa"/>
            <w:shd w:val="clear" w:color="auto" w:fill="auto"/>
          </w:tcPr>
          <w:p w:rsidR="004F4CBD" w:rsidRPr="00716193" w:rsidRDefault="004F4CBD" w:rsidP="00B61598">
            <w:pPr>
              <w:jc w:val="both"/>
              <w:rPr>
                <w:bCs/>
                <w:i/>
                <w:sz w:val="16"/>
                <w:szCs w:val="16"/>
              </w:rPr>
            </w:pPr>
            <w:r w:rsidRPr="00716193">
              <w:rPr>
                <w:bCs/>
                <w:i/>
                <w:sz w:val="16"/>
                <w:szCs w:val="16"/>
              </w:rPr>
              <w:t>Текущи:</w:t>
            </w:r>
          </w:p>
        </w:tc>
        <w:tc>
          <w:tcPr>
            <w:tcW w:w="2655" w:type="dxa"/>
            <w:shd w:val="clear" w:color="auto" w:fill="auto"/>
          </w:tcPr>
          <w:p w:rsidR="004F4CBD" w:rsidRPr="00716193" w:rsidRDefault="004F4CBD" w:rsidP="00B61598">
            <w:pPr>
              <w:tabs>
                <w:tab w:val="left" w:pos="0"/>
              </w:tabs>
              <w:jc w:val="both"/>
              <w:rPr>
                <w:bCs/>
                <w:sz w:val="16"/>
                <w:szCs w:val="16"/>
              </w:rPr>
            </w:pPr>
          </w:p>
        </w:tc>
        <w:tc>
          <w:tcPr>
            <w:tcW w:w="3899" w:type="dxa"/>
            <w:shd w:val="clear" w:color="auto" w:fill="auto"/>
          </w:tcPr>
          <w:p w:rsidR="004F4CBD" w:rsidRPr="00716193" w:rsidRDefault="004F4CBD" w:rsidP="00B61598">
            <w:pPr>
              <w:tabs>
                <w:tab w:val="left" w:pos="0"/>
              </w:tabs>
              <w:jc w:val="both"/>
              <w:rPr>
                <w:bCs/>
                <w:sz w:val="16"/>
                <w:szCs w:val="16"/>
              </w:rPr>
            </w:pPr>
          </w:p>
        </w:tc>
      </w:tr>
      <w:tr w:rsidR="004F4CBD" w:rsidRPr="00716193" w:rsidTr="00B61598">
        <w:tc>
          <w:tcPr>
            <w:tcW w:w="2802" w:type="dxa"/>
            <w:shd w:val="clear" w:color="auto" w:fill="auto"/>
          </w:tcPr>
          <w:p w:rsidR="004F4CBD" w:rsidRPr="00716193" w:rsidRDefault="004F4CBD" w:rsidP="00B61598">
            <w:pPr>
              <w:numPr>
                <w:ilvl w:val="0"/>
                <w:numId w:val="5"/>
              </w:numPr>
              <w:tabs>
                <w:tab w:val="left" w:pos="284"/>
              </w:tabs>
              <w:ind w:left="142" w:firstLine="0"/>
              <w:rPr>
                <w:bCs/>
                <w:sz w:val="16"/>
                <w:szCs w:val="16"/>
              </w:rPr>
            </w:pPr>
            <w:r w:rsidRPr="00716193">
              <w:rPr>
                <w:bCs/>
                <w:sz w:val="16"/>
                <w:szCs w:val="16"/>
              </w:rPr>
              <w:t>Пенсионни и други задължения към персонала и осигурителни институции</w:t>
            </w:r>
          </w:p>
        </w:tc>
        <w:tc>
          <w:tcPr>
            <w:tcW w:w="2655" w:type="dxa"/>
            <w:shd w:val="clear" w:color="auto" w:fill="auto"/>
          </w:tcPr>
          <w:p w:rsidR="004F4CBD" w:rsidRPr="00716193" w:rsidRDefault="004F4CBD" w:rsidP="00B61598">
            <w:pPr>
              <w:tabs>
                <w:tab w:val="left" w:pos="0"/>
              </w:tabs>
              <w:jc w:val="center"/>
              <w:rPr>
                <w:bCs/>
                <w:sz w:val="16"/>
                <w:szCs w:val="16"/>
              </w:rPr>
            </w:pPr>
            <w:r w:rsidRPr="00716193">
              <w:rPr>
                <w:bCs/>
                <w:sz w:val="16"/>
                <w:szCs w:val="16"/>
              </w:rPr>
              <w:t xml:space="preserve">  161 хил. лв.</w:t>
            </w:r>
          </w:p>
        </w:tc>
        <w:tc>
          <w:tcPr>
            <w:tcW w:w="3899" w:type="dxa"/>
            <w:shd w:val="clear" w:color="auto" w:fill="auto"/>
          </w:tcPr>
          <w:p w:rsidR="004F4CBD" w:rsidRPr="00716193" w:rsidRDefault="004F4CBD" w:rsidP="00B61598">
            <w:pPr>
              <w:tabs>
                <w:tab w:val="left" w:pos="0"/>
              </w:tabs>
              <w:jc w:val="center"/>
              <w:rPr>
                <w:bCs/>
                <w:sz w:val="16"/>
                <w:szCs w:val="16"/>
              </w:rPr>
            </w:pPr>
            <w:r w:rsidRPr="00716193">
              <w:rPr>
                <w:bCs/>
                <w:sz w:val="16"/>
                <w:szCs w:val="16"/>
              </w:rPr>
              <w:t xml:space="preserve">  161 хил. лв.</w:t>
            </w:r>
          </w:p>
        </w:tc>
      </w:tr>
      <w:tr w:rsidR="004F4CBD" w:rsidRPr="00716193" w:rsidTr="00B61598">
        <w:tc>
          <w:tcPr>
            <w:tcW w:w="2802" w:type="dxa"/>
            <w:shd w:val="clear" w:color="auto" w:fill="auto"/>
          </w:tcPr>
          <w:p w:rsidR="004F4CBD" w:rsidRPr="00716193" w:rsidRDefault="004F4CBD" w:rsidP="00B61598">
            <w:pPr>
              <w:numPr>
                <w:ilvl w:val="0"/>
                <w:numId w:val="5"/>
              </w:numPr>
              <w:tabs>
                <w:tab w:val="left" w:pos="284"/>
              </w:tabs>
              <w:ind w:left="142" w:firstLine="0"/>
              <w:rPr>
                <w:bCs/>
                <w:sz w:val="16"/>
                <w:szCs w:val="16"/>
              </w:rPr>
            </w:pPr>
            <w:r w:rsidRPr="00716193">
              <w:rPr>
                <w:bCs/>
                <w:sz w:val="16"/>
                <w:szCs w:val="16"/>
              </w:rPr>
              <w:t>Търговски задължения</w:t>
            </w:r>
          </w:p>
        </w:tc>
        <w:tc>
          <w:tcPr>
            <w:tcW w:w="2655" w:type="dxa"/>
            <w:shd w:val="clear" w:color="auto" w:fill="auto"/>
          </w:tcPr>
          <w:p w:rsidR="004F4CBD" w:rsidRPr="00716193" w:rsidRDefault="004F4CBD" w:rsidP="00B61598">
            <w:pPr>
              <w:tabs>
                <w:tab w:val="left" w:pos="0"/>
              </w:tabs>
              <w:jc w:val="center"/>
              <w:rPr>
                <w:bCs/>
                <w:sz w:val="16"/>
                <w:szCs w:val="16"/>
              </w:rPr>
            </w:pPr>
            <w:r w:rsidRPr="00716193">
              <w:rPr>
                <w:bCs/>
                <w:sz w:val="16"/>
                <w:szCs w:val="16"/>
              </w:rPr>
              <w:t xml:space="preserve">   662 хил. лв.</w:t>
            </w:r>
          </w:p>
        </w:tc>
        <w:tc>
          <w:tcPr>
            <w:tcW w:w="3899" w:type="dxa"/>
            <w:shd w:val="clear" w:color="auto" w:fill="auto"/>
          </w:tcPr>
          <w:p w:rsidR="004F4CBD" w:rsidRPr="00716193" w:rsidRDefault="004F4CBD" w:rsidP="00B61598">
            <w:pPr>
              <w:tabs>
                <w:tab w:val="left" w:pos="0"/>
              </w:tabs>
              <w:jc w:val="center"/>
              <w:rPr>
                <w:bCs/>
                <w:sz w:val="16"/>
                <w:szCs w:val="16"/>
              </w:rPr>
            </w:pPr>
            <w:r w:rsidRPr="00716193">
              <w:rPr>
                <w:bCs/>
                <w:sz w:val="16"/>
                <w:szCs w:val="16"/>
              </w:rPr>
              <w:t xml:space="preserve">   840 хил. лв.</w:t>
            </w:r>
          </w:p>
        </w:tc>
      </w:tr>
      <w:tr w:rsidR="004F4CBD" w:rsidRPr="00716193" w:rsidTr="00B61598">
        <w:tc>
          <w:tcPr>
            <w:tcW w:w="2802" w:type="dxa"/>
            <w:shd w:val="clear" w:color="auto" w:fill="auto"/>
          </w:tcPr>
          <w:p w:rsidR="004F4CBD" w:rsidRPr="00716193" w:rsidRDefault="004F4CBD" w:rsidP="00B61598">
            <w:pPr>
              <w:numPr>
                <w:ilvl w:val="0"/>
                <w:numId w:val="5"/>
              </w:numPr>
              <w:tabs>
                <w:tab w:val="left" w:pos="284"/>
              </w:tabs>
              <w:ind w:left="142" w:firstLine="0"/>
              <w:rPr>
                <w:bCs/>
                <w:sz w:val="16"/>
                <w:szCs w:val="16"/>
              </w:rPr>
            </w:pPr>
            <w:r w:rsidRPr="00716193">
              <w:rPr>
                <w:bCs/>
                <w:sz w:val="16"/>
                <w:szCs w:val="16"/>
              </w:rPr>
              <w:t>Данъчни задължения</w:t>
            </w:r>
          </w:p>
        </w:tc>
        <w:tc>
          <w:tcPr>
            <w:tcW w:w="2655" w:type="dxa"/>
            <w:shd w:val="clear" w:color="auto" w:fill="auto"/>
          </w:tcPr>
          <w:p w:rsidR="004F4CBD" w:rsidRPr="00716193" w:rsidRDefault="004F4CBD" w:rsidP="00B61598">
            <w:pPr>
              <w:tabs>
                <w:tab w:val="left" w:pos="0"/>
              </w:tabs>
              <w:jc w:val="center"/>
              <w:rPr>
                <w:bCs/>
                <w:sz w:val="16"/>
                <w:szCs w:val="16"/>
              </w:rPr>
            </w:pPr>
            <w:r w:rsidRPr="00716193">
              <w:rPr>
                <w:bCs/>
                <w:sz w:val="16"/>
                <w:szCs w:val="16"/>
              </w:rPr>
              <w:t xml:space="preserve">      72 хил. лв.</w:t>
            </w:r>
          </w:p>
        </w:tc>
        <w:tc>
          <w:tcPr>
            <w:tcW w:w="3899" w:type="dxa"/>
            <w:shd w:val="clear" w:color="auto" w:fill="auto"/>
          </w:tcPr>
          <w:p w:rsidR="004F4CBD" w:rsidRPr="00716193" w:rsidRDefault="004F4CBD" w:rsidP="00B61598">
            <w:pPr>
              <w:tabs>
                <w:tab w:val="left" w:pos="0"/>
              </w:tabs>
              <w:jc w:val="center"/>
              <w:rPr>
                <w:bCs/>
                <w:sz w:val="16"/>
                <w:szCs w:val="16"/>
              </w:rPr>
            </w:pPr>
            <w:r w:rsidRPr="00716193">
              <w:rPr>
                <w:bCs/>
                <w:sz w:val="16"/>
                <w:szCs w:val="16"/>
              </w:rPr>
              <w:t xml:space="preserve">       45 хил. лв.</w:t>
            </w:r>
          </w:p>
        </w:tc>
      </w:tr>
      <w:tr w:rsidR="004F4CBD" w:rsidRPr="00716193" w:rsidTr="00B61598">
        <w:tc>
          <w:tcPr>
            <w:tcW w:w="2802" w:type="dxa"/>
            <w:shd w:val="clear" w:color="auto" w:fill="auto"/>
          </w:tcPr>
          <w:p w:rsidR="004F4CBD" w:rsidRPr="00716193" w:rsidRDefault="004F4CBD" w:rsidP="00B61598">
            <w:pPr>
              <w:numPr>
                <w:ilvl w:val="0"/>
                <w:numId w:val="5"/>
              </w:numPr>
              <w:tabs>
                <w:tab w:val="left" w:pos="284"/>
              </w:tabs>
              <w:ind w:left="142" w:firstLine="0"/>
              <w:rPr>
                <w:bCs/>
                <w:sz w:val="16"/>
                <w:szCs w:val="16"/>
              </w:rPr>
            </w:pPr>
            <w:r w:rsidRPr="00716193">
              <w:rPr>
                <w:bCs/>
                <w:sz w:val="16"/>
                <w:szCs w:val="16"/>
              </w:rPr>
              <w:t>Други задължения</w:t>
            </w:r>
          </w:p>
        </w:tc>
        <w:tc>
          <w:tcPr>
            <w:tcW w:w="2655" w:type="dxa"/>
            <w:shd w:val="clear" w:color="auto" w:fill="auto"/>
          </w:tcPr>
          <w:p w:rsidR="004F4CBD" w:rsidRPr="00716193" w:rsidRDefault="004F4CBD" w:rsidP="00B61598">
            <w:pPr>
              <w:tabs>
                <w:tab w:val="left" w:pos="0"/>
              </w:tabs>
              <w:jc w:val="center"/>
              <w:rPr>
                <w:bCs/>
                <w:sz w:val="16"/>
                <w:szCs w:val="16"/>
              </w:rPr>
            </w:pPr>
            <w:r w:rsidRPr="00716193">
              <w:rPr>
                <w:bCs/>
                <w:sz w:val="16"/>
                <w:szCs w:val="16"/>
              </w:rPr>
              <w:t xml:space="preserve">   370 хил. лв.</w:t>
            </w:r>
          </w:p>
        </w:tc>
        <w:tc>
          <w:tcPr>
            <w:tcW w:w="3899" w:type="dxa"/>
            <w:shd w:val="clear" w:color="auto" w:fill="auto"/>
          </w:tcPr>
          <w:p w:rsidR="004F4CBD" w:rsidRPr="00716193" w:rsidRDefault="004F4CBD" w:rsidP="00B61598">
            <w:pPr>
              <w:tabs>
                <w:tab w:val="left" w:pos="0"/>
              </w:tabs>
              <w:jc w:val="center"/>
              <w:rPr>
                <w:bCs/>
                <w:sz w:val="16"/>
                <w:szCs w:val="16"/>
              </w:rPr>
            </w:pPr>
            <w:r w:rsidRPr="00716193">
              <w:rPr>
                <w:bCs/>
                <w:sz w:val="16"/>
                <w:szCs w:val="16"/>
              </w:rPr>
              <w:t xml:space="preserve">    456 хил. лв.</w:t>
            </w:r>
          </w:p>
        </w:tc>
      </w:tr>
      <w:tr w:rsidR="004F4CBD" w:rsidRPr="00716193" w:rsidTr="00B61598">
        <w:tc>
          <w:tcPr>
            <w:tcW w:w="2802" w:type="dxa"/>
            <w:shd w:val="clear" w:color="auto" w:fill="auto"/>
          </w:tcPr>
          <w:p w:rsidR="004F4CBD" w:rsidRPr="00716193" w:rsidRDefault="004F4CBD" w:rsidP="00B61598">
            <w:pPr>
              <w:jc w:val="both"/>
              <w:rPr>
                <w:bCs/>
                <w:i/>
                <w:sz w:val="16"/>
                <w:szCs w:val="16"/>
              </w:rPr>
            </w:pPr>
            <w:r w:rsidRPr="00716193">
              <w:rPr>
                <w:bCs/>
                <w:i/>
                <w:sz w:val="16"/>
                <w:szCs w:val="16"/>
              </w:rPr>
              <w:t>Нетекущи:</w:t>
            </w:r>
          </w:p>
        </w:tc>
        <w:tc>
          <w:tcPr>
            <w:tcW w:w="2655" w:type="dxa"/>
            <w:shd w:val="clear" w:color="auto" w:fill="auto"/>
          </w:tcPr>
          <w:p w:rsidR="004F4CBD" w:rsidRPr="00716193" w:rsidRDefault="004F4CBD" w:rsidP="00B61598">
            <w:pPr>
              <w:tabs>
                <w:tab w:val="left" w:pos="0"/>
              </w:tabs>
              <w:jc w:val="both"/>
              <w:rPr>
                <w:bCs/>
                <w:sz w:val="16"/>
                <w:szCs w:val="16"/>
              </w:rPr>
            </w:pPr>
          </w:p>
        </w:tc>
        <w:tc>
          <w:tcPr>
            <w:tcW w:w="3899" w:type="dxa"/>
            <w:shd w:val="clear" w:color="auto" w:fill="auto"/>
          </w:tcPr>
          <w:p w:rsidR="004F4CBD" w:rsidRPr="00716193" w:rsidRDefault="004F4CBD" w:rsidP="00B61598">
            <w:pPr>
              <w:tabs>
                <w:tab w:val="left" w:pos="0"/>
              </w:tabs>
              <w:jc w:val="both"/>
              <w:rPr>
                <w:bCs/>
                <w:sz w:val="16"/>
                <w:szCs w:val="16"/>
              </w:rPr>
            </w:pPr>
          </w:p>
        </w:tc>
      </w:tr>
      <w:tr w:rsidR="004F4CBD" w:rsidRPr="00716193" w:rsidTr="00B61598">
        <w:tc>
          <w:tcPr>
            <w:tcW w:w="2802" w:type="dxa"/>
            <w:shd w:val="clear" w:color="auto" w:fill="auto"/>
          </w:tcPr>
          <w:p w:rsidR="004F4CBD" w:rsidRPr="00716193" w:rsidRDefault="004F4CBD" w:rsidP="00B61598">
            <w:pPr>
              <w:numPr>
                <w:ilvl w:val="0"/>
                <w:numId w:val="5"/>
              </w:numPr>
              <w:tabs>
                <w:tab w:val="left" w:pos="284"/>
              </w:tabs>
              <w:ind w:left="142" w:firstLine="0"/>
              <w:rPr>
                <w:bCs/>
                <w:sz w:val="16"/>
                <w:szCs w:val="16"/>
              </w:rPr>
            </w:pPr>
            <w:r w:rsidRPr="00716193">
              <w:rPr>
                <w:bCs/>
                <w:sz w:val="16"/>
                <w:szCs w:val="16"/>
              </w:rPr>
              <w:t>Пенсионни и други задължения към персонала</w:t>
            </w:r>
            <w:r w:rsidRPr="00B61598">
              <w:rPr>
                <w:bCs/>
                <w:sz w:val="16"/>
                <w:szCs w:val="16"/>
              </w:rPr>
              <w:t xml:space="preserve"> </w:t>
            </w:r>
            <w:r w:rsidRPr="00716193">
              <w:rPr>
                <w:bCs/>
                <w:sz w:val="16"/>
                <w:szCs w:val="16"/>
              </w:rPr>
              <w:t>и осигурителни институции</w:t>
            </w:r>
          </w:p>
        </w:tc>
        <w:tc>
          <w:tcPr>
            <w:tcW w:w="2655" w:type="dxa"/>
            <w:shd w:val="clear" w:color="auto" w:fill="auto"/>
          </w:tcPr>
          <w:p w:rsidR="004F4CBD" w:rsidRPr="00716193" w:rsidRDefault="004F4CBD" w:rsidP="00B61598">
            <w:pPr>
              <w:tabs>
                <w:tab w:val="left" w:pos="0"/>
              </w:tabs>
              <w:jc w:val="center"/>
              <w:rPr>
                <w:bCs/>
                <w:sz w:val="16"/>
                <w:szCs w:val="16"/>
              </w:rPr>
            </w:pPr>
            <w:r w:rsidRPr="00716193">
              <w:rPr>
                <w:bCs/>
                <w:sz w:val="16"/>
                <w:szCs w:val="16"/>
              </w:rPr>
              <w:t xml:space="preserve">-    </w:t>
            </w:r>
          </w:p>
        </w:tc>
        <w:tc>
          <w:tcPr>
            <w:tcW w:w="3899" w:type="dxa"/>
            <w:shd w:val="clear" w:color="auto" w:fill="auto"/>
          </w:tcPr>
          <w:p w:rsidR="004F4CBD" w:rsidRPr="00716193" w:rsidRDefault="004F4CBD" w:rsidP="00B61598">
            <w:pPr>
              <w:tabs>
                <w:tab w:val="left" w:pos="0"/>
              </w:tabs>
              <w:jc w:val="center"/>
              <w:rPr>
                <w:bCs/>
                <w:sz w:val="16"/>
                <w:szCs w:val="16"/>
              </w:rPr>
            </w:pPr>
            <w:r w:rsidRPr="00716193">
              <w:rPr>
                <w:bCs/>
                <w:sz w:val="16"/>
                <w:szCs w:val="16"/>
              </w:rPr>
              <w:t xml:space="preserve">    157 хил. лв.    </w:t>
            </w:r>
          </w:p>
        </w:tc>
      </w:tr>
      <w:tr w:rsidR="004F4CBD" w:rsidRPr="00716193" w:rsidTr="00B61598">
        <w:tc>
          <w:tcPr>
            <w:tcW w:w="2802" w:type="dxa"/>
            <w:shd w:val="clear" w:color="auto" w:fill="auto"/>
          </w:tcPr>
          <w:p w:rsidR="004F4CBD" w:rsidRPr="00716193" w:rsidRDefault="004F4CBD" w:rsidP="00B61598">
            <w:pPr>
              <w:numPr>
                <w:ilvl w:val="0"/>
                <w:numId w:val="5"/>
              </w:numPr>
              <w:tabs>
                <w:tab w:val="left" w:pos="284"/>
              </w:tabs>
              <w:ind w:left="142" w:firstLine="0"/>
              <w:rPr>
                <w:bCs/>
                <w:sz w:val="16"/>
                <w:szCs w:val="16"/>
              </w:rPr>
            </w:pPr>
            <w:r w:rsidRPr="00716193">
              <w:rPr>
                <w:bCs/>
                <w:sz w:val="16"/>
                <w:szCs w:val="16"/>
              </w:rPr>
              <w:t>Други задължения</w:t>
            </w:r>
          </w:p>
        </w:tc>
        <w:tc>
          <w:tcPr>
            <w:tcW w:w="2655" w:type="dxa"/>
            <w:shd w:val="clear" w:color="auto" w:fill="auto"/>
          </w:tcPr>
          <w:p w:rsidR="004F4CBD" w:rsidRPr="00716193" w:rsidRDefault="004F4CBD" w:rsidP="00B61598">
            <w:pPr>
              <w:tabs>
                <w:tab w:val="left" w:pos="0"/>
              </w:tabs>
              <w:jc w:val="center"/>
              <w:rPr>
                <w:bCs/>
                <w:sz w:val="16"/>
                <w:szCs w:val="16"/>
              </w:rPr>
            </w:pPr>
            <w:r w:rsidRPr="00716193">
              <w:rPr>
                <w:bCs/>
                <w:sz w:val="16"/>
                <w:szCs w:val="16"/>
              </w:rPr>
              <w:t xml:space="preserve">   570 хил. лв.</w:t>
            </w:r>
          </w:p>
        </w:tc>
        <w:tc>
          <w:tcPr>
            <w:tcW w:w="3899" w:type="dxa"/>
            <w:shd w:val="clear" w:color="auto" w:fill="auto"/>
          </w:tcPr>
          <w:p w:rsidR="004F4CBD" w:rsidRPr="00716193" w:rsidRDefault="004F4CBD" w:rsidP="00B61598">
            <w:pPr>
              <w:tabs>
                <w:tab w:val="left" w:pos="0"/>
              </w:tabs>
              <w:jc w:val="center"/>
              <w:rPr>
                <w:bCs/>
                <w:sz w:val="16"/>
                <w:szCs w:val="16"/>
              </w:rPr>
            </w:pPr>
            <w:r w:rsidRPr="00716193">
              <w:rPr>
                <w:bCs/>
                <w:sz w:val="16"/>
                <w:szCs w:val="16"/>
              </w:rPr>
              <w:t xml:space="preserve">   707 хил. лв.</w:t>
            </w:r>
          </w:p>
        </w:tc>
      </w:tr>
      <w:tr w:rsidR="004F4CBD" w:rsidRPr="00716193" w:rsidTr="00B61598">
        <w:tc>
          <w:tcPr>
            <w:tcW w:w="2802" w:type="dxa"/>
            <w:shd w:val="clear" w:color="auto" w:fill="auto"/>
          </w:tcPr>
          <w:p w:rsidR="004F4CBD" w:rsidRPr="00716193" w:rsidRDefault="004F4CBD" w:rsidP="00B61598">
            <w:pPr>
              <w:numPr>
                <w:ilvl w:val="0"/>
                <w:numId w:val="5"/>
              </w:numPr>
              <w:tabs>
                <w:tab w:val="left" w:pos="284"/>
              </w:tabs>
              <w:ind w:left="142" w:firstLine="0"/>
              <w:rPr>
                <w:bCs/>
                <w:sz w:val="16"/>
                <w:szCs w:val="16"/>
              </w:rPr>
            </w:pPr>
            <w:r w:rsidRPr="00716193">
              <w:rPr>
                <w:bCs/>
                <w:sz w:val="16"/>
                <w:szCs w:val="16"/>
              </w:rPr>
              <w:t>Отсрочени данъчни пасиви</w:t>
            </w:r>
          </w:p>
        </w:tc>
        <w:tc>
          <w:tcPr>
            <w:tcW w:w="2655" w:type="dxa"/>
            <w:shd w:val="clear" w:color="auto" w:fill="auto"/>
          </w:tcPr>
          <w:p w:rsidR="004F4CBD" w:rsidRPr="00716193" w:rsidRDefault="004F4CBD" w:rsidP="00B61598">
            <w:pPr>
              <w:tabs>
                <w:tab w:val="left" w:pos="0"/>
              </w:tabs>
              <w:jc w:val="center"/>
              <w:rPr>
                <w:bCs/>
                <w:sz w:val="16"/>
                <w:szCs w:val="16"/>
              </w:rPr>
            </w:pPr>
            <w:r w:rsidRPr="00716193">
              <w:rPr>
                <w:bCs/>
                <w:sz w:val="16"/>
                <w:szCs w:val="16"/>
              </w:rPr>
              <w:t>2 199 хил. лв.</w:t>
            </w:r>
          </w:p>
        </w:tc>
        <w:tc>
          <w:tcPr>
            <w:tcW w:w="3899" w:type="dxa"/>
            <w:shd w:val="clear" w:color="auto" w:fill="auto"/>
          </w:tcPr>
          <w:p w:rsidR="004F4CBD" w:rsidRPr="00716193" w:rsidRDefault="004F4CBD" w:rsidP="00B61598">
            <w:pPr>
              <w:tabs>
                <w:tab w:val="left" w:pos="0"/>
              </w:tabs>
              <w:jc w:val="center"/>
              <w:rPr>
                <w:bCs/>
                <w:sz w:val="16"/>
                <w:szCs w:val="16"/>
              </w:rPr>
            </w:pPr>
            <w:r w:rsidRPr="00716193">
              <w:rPr>
                <w:bCs/>
                <w:sz w:val="16"/>
                <w:szCs w:val="16"/>
              </w:rPr>
              <w:t>2 750 хил. лв.</w:t>
            </w:r>
          </w:p>
        </w:tc>
      </w:tr>
      <w:tr w:rsidR="004F4CBD" w:rsidRPr="00716193" w:rsidTr="00B61598">
        <w:tc>
          <w:tcPr>
            <w:tcW w:w="2802" w:type="dxa"/>
            <w:shd w:val="clear" w:color="auto" w:fill="auto"/>
          </w:tcPr>
          <w:p w:rsidR="004F4CBD" w:rsidRPr="00716193" w:rsidRDefault="004F4CBD" w:rsidP="00B61598">
            <w:pPr>
              <w:jc w:val="both"/>
              <w:rPr>
                <w:bCs/>
                <w:i/>
                <w:sz w:val="16"/>
                <w:szCs w:val="16"/>
              </w:rPr>
            </w:pPr>
            <w:r w:rsidRPr="00716193">
              <w:rPr>
                <w:bCs/>
                <w:i/>
                <w:sz w:val="16"/>
                <w:szCs w:val="16"/>
              </w:rPr>
              <w:t>Общо:</w:t>
            </w:r>
          </w:p>
        </w:tc>
        <w:tc>
          <w:tcPr>
            <w:tcW w:w="2655" w:type="dxa"/>
            <w:shd w:val="clear" w:color="auto" w:fill="auto"/>
          </w:tcPr>
          <w:p w:rsidR="004F4CBD" w:rsidRPr="00B61598" w:rsidRDefault="004F4CBD" w:rsidP="00B61598">
            <w:pPr>
              <w:tabs>
                <w:tab w:val="left" w:pos="0"/>
              </w:tabs>
              <w:jc w:val="center"/>
              <w:rPr>
                <w:b/>
                <w:bCs/>
                <w:i/>
                <w:sz w:val="16"/>
                <w:szCs w:val="16"/>
              </w:rPr>
            </w:pPr>
            <w:r w:rsidRPr="00B61598">
              <w:rPr>
                <w:b/>
                <w:bCs/>
                <w:i/>
                <w:sz w:val="16"/>
                <w:szCs w:val="16"/>
              </w:rPr>
              <w:t>4 034 хил. лв.</w:t>
            </w:r>
          </w:p>
        </w:tc>
        <w:tc>
          <w:tcPr>
            <w:tcW w:w="3899" w:type="dxa"/>
            <w:shd w:val="clear" w:color="auto" w:fill="auto"/>
          </w:tcPr>
          <w:p w:rsidR="004F4CBD" w:rsidRPr="00B61598" w:rsidRDefault="004F4CBD" w:rsidP="00B61598">
            <w:pPr>
              <w:tabs>
                <w:tab w:val="left" w:pos="0"/>
              </w:tabs>
              <w:jc w:val="center"/>
              <w:rPr>
                <w:b/>
                <w:bCs/>
                <w:i/>
                <w:sz w:val="16"/>
                <w:szCs w:val="16"/>
              </w:rPr>
            </w:pPr>
            <w:r w:rsidRPr="00B61598">
              <w:rPr>
                <w:b/>
                <w:bCs/>
                <w:i/>
                <w:sz w:val="16"/>
                <w:szCs w:val="16"/>
              </w:rPr>
              <w:t>5 116 хил. лв.</w:t>
            </w:r>
          </w:p>
        </w:tc>
      </w:tr>
    </w:tbl>
    <w:p w:rsidR="004F4CBD" w:rsidRPr="00716193" w:rsidRDefault="004F4CBD" w:rsidP="004F4CBD">
      <w:pPr>
        <w:tabs>
          <w:tab w:val="left" w:pos="0"/>
        </w:tabs>
        <w:ind w:left="1129"/>
        <w:jc w:val="both"/>
        <w:rPr>
          <w:b/>
          <w:bCs/>
        </w:rPr>
      </w:pPr>
    </w:p>
    <w:p w:rsidR="004F4CBD" w:rsidRPr="00716193" w:rsidRDefault="004F4CBD" w:rsidP="004F4CBD">
      <w:pPr>
        <w:tabs>
          <w:tab w:val="left" w:pos="0"/>
        </w:tabs>
        <w:ind w:firstLine="709"/>
        <w:jc w:val="both"/>
        <w:rPr>
          <w:bCs/>
        </w:rPr>
      </w:pPr>
      <w:r w:rsidRPr="00716193">
        <w:rPr>
          <w:bCs/>
        </w:rPr>
        <w:t>Увеличението се дължи на нарастване на общия размер на текущите задължения – от 1 265 хил. лв. през 2013 г. на 1 502 хил. лв. през 2014 г., както и на нарастване общия размер на нетекущите задължения – от 2 769 хил. лв. на 3 614 хил. лв.</w:t>
      </w:r>
    </w:p>
    <w:p w:rsidR="004F4CBD" w:rsidRPr="00716193" w:rsidRDefault="004F4CBD" w:rsidP="004F4CBD">
      <w:pPr>
        <w:tabs>
          <w:tab w:val="left" w:pos="0"/>
        </w:tabs>
        <w:ind w:firstLine="709"/>
        <w:jc w:val="both"/>
        <w:rPr>
          <w:bCs/>
        </w:rPr>
      </w:pPr>
      <w:r w:rsidRPr="00716193">
        <w:rPr>
          <w:bCs/>
        </w:rPr>
        <w:t xml:space="preserve">Налице е увеличение на търговските задължения на дружеството към доставчици на стоки и услуги, като към 31.12.2014 г. размерът им е 840 хил. лв., което е със 178 </w:t>
      </w:r>
      <w:r w:rsidR="00FC44B5" w:rsidRPr="00716193">
        <w:rPr>
          <w:bCs/>
        </w:rPr>
        <w:br/>
      </w:r>
      <w:r w:rsidRPr="00716193">
        <w:rPr>
          <w:bCs/>
        </w:rPr>
        <w:t xml:space="preserve">хил. лв. повече спрямо размерът им към 31.12.2013 г. </w:t>
      </w:r>
    </w:p>
    <w:p w:rsidR="004F4CBD" w:rsidRPr="00716193" w:rsidRDefault="004F4CBD" w:rsidP="004F4CBD">
      <w:pPr>
        <w:tabs>
          <w:tab w:val="left" w:pos="0"/>
        </w:tabs>
        <w:ind w:firstLine="709"/>
        <w:jc w:val="both"/>
        <w:rPr>
          <w:bCs/>
        </w:rPr>
      </w:pPr>
      <w:r w:rsidRPr="00716193">
        <w:rPr>
          <w:bCs/>
        </w:rPr>
        <w:t xml:space="preserve">Отсрочените данъчни пасиви, представляващи увеличение на данъчния ефект от данъчни временни разлики от амортизации, са с най-голям относителен дял от нетекущите </w:t>
      </w:r>
      <w:r w:rsidRPr="00716193">
        <w:rPr>
          <w:bCs/>
        </w:rPr>
        <w:lastRenderedPageBreak/>
        <w:t>задължения, като се отчита нарастваща т</w:t>
      </w:r>
      <w:r w:rsidR="007F4529" w:rsidRPr="00716193">
        <w:rPr>
          <w:bCs/>
        </w:rPr>
        <w:t xml:space="preserve">енденция </w:t>
      </w:r>
      <w:r w:rsidRPr="00716193">
        <w:rPr>
          <w:bCs/>
        </w:rPr>
        <w:t xml:space="preserve">– размерът им нараства през 2014 г. значително с 551 хил. лв. спрямо 2013 г. </w:t>
      </w:r>
    </w:p>
    <w:p w:rsidR="004F4CBD" w:rsidRPr="00716193" w:rsidRDefault="004F4CBD" w:rsidP="004F4CBD">
      <w:pPr>
        <w:tabs>
          <w:tab w:val="left" w:pos="0"/>
        </w:tabs>
        <w:ind w:firstLine="709"/>
        <w:jc w:val="both"/>
        <w:rPr>
          <w:bCs/>
        </w:rPr>
      </w:pPr>
      <w:r w:rsidRPr="00716193">
        <w:rPr>
          <w:bCs/>
        </w:rPr>
        <w:t>Към 31.12.2014 г. дружеството има отчетено нетекущо задължение в размер на 157 хил.</w:t>
      </w:r>
      <w:r w:rsidR="00FC44B5" w:rsidRPr="00716193">
        <w:rPr>
          <w:bCs/>
        </w:rPr>
        <w:t xml:space="preserve"> </w:t>
      </w:r>
      <w:r w:rsidRPr="00716193">
        <w:rPr>
          <w:bCs/>
        </w:rPr>
        <w:t xml:space="preserve">лв., представляващо обезщетения по Кодекса на труда. От текущ характер са отчетените 161 хил. лв. пенсионни и други задължения към персонала, </w:t>
      </w:r>
      <w:r w:rsidR="007F4529" w:rsidRPr="00716193">
        <w:rPr>
          <w:bCs/>
        </w:rPr>
        <w:t>в т.ч. и</w:t>
      </w:r>
      <w:r w:rsidRPr="00716193">
        <w:rPr>
          <w:bCs/>
        </w:rPr>
        <w:t xml:space="preserve"> задължения за компенсируеми отпуски и за социално и здравно осигуряване.</w:t>
      </w:r>
    </w:p>
    <w:p w:rsidR="004F4CBD" w:rsidRPr="00716193" w:rsidRDefault="004F4CBD" w:rsidP="004F4CBD">
      <w:pPr>
        <w:tabs>
          <w:tab w:val="left" w:pos="0"/>
        </w:tabs>
        <w:ind w:firstLine="709"/>
        <w:jc w:val="both"/>
        <w:rPr>
          <w:bCs/>
        </w:rPr>
      </w:pPr>
      <w:r w:rsidRPr="00716193">
        <w:rPr>
          <w:bCs/>
        </w:rPr>
        <w:t>Намаление на задълженията се отчита само по отношение на данъчните, като в абсолютен размер те намаляват през 2014 г. спрямо 2013 г. с 27 хил. лв.</w:t>
      </w:r>
    </w:p>
    <w:p w:rsidR="004F4CBD" w:rsidRPr="00716193" w:rsidRDefault="004F4CBD" w:rsidP="004F4CBD">
      <w:pPr>
        <w:tabs>
          <w:tab w:val="left" w:pos="0"/>
        </w:tabs>
        <w:ind w:firstLine="709"/>
        <w:jc w:val="both"/>
        <w:rPr>
          <w:bCs/>
        </w:rPr>
      </w:pPr>
      <w:r w:rsidRPr="00716193">
        <w:rPr>
          <w:bCs/>
        </w:rPr>
        <w:t>От ръководство</w:t>
      </w:r>
      <w:r w:rsidR="00C17492" w:rsidRPr="00716193">
        <w:rPr>
          <w:bCs/>
        </w:rPr>
        <w:t>то на дружеството</w:t>
      </w:r>
      <w:r w:rsidRPr="00716193">
        <w:rPr>
          <w:bCs/>
        </w:rPr>
        <w:t xml:space="preserve"> са предприети мерки са погасяване на търговските задължения, като </w:t>
      </w:r>
      <w:r w:rsidR="00C17492" w:rsidRPr="00716193">
        <w:rPr>
          <w:bCs/>
        </w:rPr>
        <w:t xml:space="preserve">почти </w:t>
      </w:r>
      <w:r w:rsidRPr="00716193">
        <w:rPr>
          <w:bCs/>
        </w:rPr>
        <w:t xml:space="preserve">всички задължения към доставчици и клиенти по аванси към </w:t>
      </w:r>
      <w:r w:rsidR="007A7723" w:rsidRPr="00716193">
        <w:rPr>
          <w:bCs/>
        </w:rPr>
        <w:t>3</w:t>
      </w:r>
      <w:r w:rsidRPr="00716193">
        <w:rPr>
          <w:bCs/>
        </w:rPr>
        <w:t>1.12.2014 г. са погасени. Налице е погасяване и на други текущи задължения, с изключение на част от депозитите за наемане на помещения, собственост на дружеството.</w:t>
      </w:r>
      <w:r w:rsidRPr="00716193">
        <w:rPr>
          <w:rStyle w:val="FootnoteReference"/>
          <w:bCs/>
        </w:rPr>
        <w:footnoteReference w:id="100"/>
      </w:r>
      <w:r w:rsidRPr="00716193">
        <w:rPr>
          <w:bCs/>
        </w:rPr>
        <w:t xml:space="preserve"> </w:t>
      </w:r>
    </w:p>
    <w:p w:rsidR="004F4CBD" w:rsidRPr="00716193" w:rsidRDefault="004F4CBD" w:rsidP="004F4CBD">
      <w:pPr>
        <w:tabs>
          <w:tab w:val="left" w:pos="0"/>
        </w:tabs>
        <w:ind w:firstLine="709"/>
        <w:jc w:val="both"/>
        <w:rPr>
          <w:b/>
          <w:bCs/>
        </w:rPr>
      </w:pPr>
    </w:p>
    <w:p w:rsidR="004F4CBD" w:rsidRPr="00716193" w:rsidRDefault="004F4CBD" w:rsidP="00FC44B5">
      <w:pPr>
        <w:tabs>
          <w:tab w:val="left" w:pos="0"/>
          <w:tab w:val="left" w:pos="7088"/>
          <w:tab w:val="left" w:pos="8505"/>
        </w:tabs>
        <w:ind w:firstLine="709"/>
        <w:jc w:val="both"/>
        <w:rPr>
          <w:spacing w:val="-2"/>
        </w:rPr>
      </w:pPr>
      <w:r w:rsidRPr="00716193">
        <w:rPr>
          <w:b/>
          <w:bCs/>
        </w:rPr>
        <w:t>2.4. Показатели, характеризиращи дейността</w:t>
      </w:r>
      <w:r w:rsidRPr="00716193">
        <w:rPr>
          <w:rStyle w:val="FootnoteReference"/>
          <w:b/>
          <w:bCs/>
        </w:rPr>
        <w:footnoteReference w:id="101"/>
      </w:r>
      <w:r w:rsidRPr="00716193">
        <w:rPr>
          <w:b/>
          <w:bCs/>
        </w:rPr>
        <w:tab/>
      </w:r>
    </w:p>
    <w:p w:rsidR="00B968A9" w:rsidRPr="00716193" w:rsidRDefault="00B968A9" w:rsidP="004F4CBD">
      <w:pPr>
        <w:rPr>
          <w:b/>
          <w:sz w:val="16"/>
          <w:szCs w:val="16"/>
          <w:lang w:val="en-US"/>
        </w:rPr>
      </w:pPr>
    </w:p>
    <w:p w:rsidR="004F4CBD" w:rsidRPr="00734E74" w:rsidRDefault="004F4CBD" w:rsidP="00B61598">
      <w:pPr>
        <w:ind w:firstLine="709"/>
        <w:rPr>
          <w:b/>
        </w:rPr>
      </w:pPr>
      <w:r w:rsidRPr="00734E74">
        <w:rPr>
          <w:b/>
        </w:rPr>
        <w:t>КОЕФИЦИЕНТИ ЗА РЕНТАБИЛНОСТ</w:t>
      </w:r>
      <w:r w:rsidR="000B4F86" w:rsidRPr="00734E74">
        <w:rPr>
          <w:rStyle w:val="FootnoteReference"/>
          <w:b/>
        </w:rPr>
        <w:footnoteReference w:id="102"/>
      </w:r>
      <w:r w:rsidRPr="00734E74">
        <w:rPr>
          <w:b/>
        </w:rPr>
        <w:t xml:space="preserve">                                                            </w:t>
      </w:r>
    </w:p>
    <w:p w:rsidR="004F4CBD" w:rsidRPr="00734E74" w:rsidRDefault="004F4CBD" w:rsidP="00B61598">
      <w:pPr>
        <w:ind w:firstLine="709"/>
        <w:rPr>
          <w:b/>
          <w:i/>
        </w:rPr>
      </w:pPr>
      <w:r w:rsidRPr="00734E74">
        <w:rPr>
          <w:b/>
          <w:i/>
        </w:rPr>
        <w:t xml:space="preserve">Рентабилност на приходите от продажби                                                  </w:t>
      </w:r>
      <w:r w:rsidR="00FC44B5" w:rsidRPr="00734E74">
        <w:rPr>
          <w:b/>
          <w:i/>
        </w:rPr>
        <w:t xml:space="preserve"> </w:t>
      </w:r>
    </w:p>
    <w:p w:rsidR="004F4CBD" w:rsidRPr="00734E74" w:rsidRDefault="004F4CBD" w:rsidP="00B61598">
      <w:pPr>
        <w:ind w:firstLine="709"/>
      </w:pPr>
      <w:r w:rsidRPr="00734E74">
        <w:t>Финансов резултат/приходи от продажба</w:t>
      </w:r>
    </w:p>
    <w:p w:rsidR="004F4CBD" w:rsidRPr="00734E74" w:rsidRDefault="004F4CBD" w:rsidP="00B61598">
      <w:pPr>
        <w:ind w:firstLine="709"/>
      </w:pPr>
      <w:r w:rsidRPr="00734E74">
        <w:rPr>
          <w:lang w:val="en-US"/>
        </w:rPr>
        <w:t>(</w:t>
      </w:r>
      <w:r w:rsidRPr="00734E74">
        <w:t>4 252</w:t>
      </w:r>
      <w:r w:rsidRPr="00734E74">
        <w:rPr>
          <w:lang w:val="en-US"/>
        </w:rPr>
        <w:t>)</w:t>
      </w:r>
      <w:r w:rsidRPr="00734E74">
        <w:t>/7 656 = - 0,56</w:t>
      </w:r>
      <w:r w:rsidR="00BB4043" w:rsidRPr="00734E74">
        <w:t xml:space="preserve"> за 2013 г.</w:t>
      </w:r>
    </w:p>
    <w:p w:rsidR="004F4CBD" w:rsidRPr="00734E74" w:rsidRDefault="004F4CBD" w:rsidP="00B61598">
      <w:pPr>
        <w:ind w:firstLine="709"/>
      </w:pPr>
      <w:r w:rsidRPr="00734E74">
        <w:rPr>
          <w:lang w:val="en-US"/>
        </w:rPr>
        <w:t>(</w:t>
      </w:r>
      <w:r w:rsidRPr="00734E74">
        <w:t>7 282</w:t>
      </w:r>
      <w:r w:rsidRPr="00734E74">
        <w:rPr>
          <w:lang w:val="en-US"/>
        </w:rPr>
        <w:t>)</w:t>
      </w:r>
      <w:r w:rsidRPr="00734E74">
        <w:t>/7 048 = - 1,03</w:t>
      </w:r>
      <w:r w:rsidR="00BB4043" w:rsidRPr="00734E74">
        <w:t xml:space="preserve"> за 2014 г.</w:t>
      </w:r>
    </w:p>
    <w:p w:rsidR="00BB4043" w:rsidRPr="00734E74" w:rsidRDefault="00BB4043" w:rsidP="00B61598">
      <w:pPr>
        <w:ind w:firstLine="709"/>
        <w:rPr>
          <w:b/>
          <w:i/>
        </w:rPr>
      </w:pPr>
    </w:p>
    <w:p w:rsidR="004F4CBD" w:rsidRPr="00734E74" w:rsidRDefault="004F4CBD" w:rsidP="00B61598">
      <w:pPr>
        <w:ind w:firstLine="709"/>
        <w:rPr>
          <w:b/>
          <w:i/>
        </w:rPr>
      </w:pPr>
      <w:r w:rsidRPr="00734E74">
        <w:rPr>
          <w:b/>
          <w:i/>
        </w:rPr>
        <w:t xml:space="preserve">Рентабилност на собствения капитал       </w:t>
      </w:r>
      <w:r w:rsidRPr="00734E74">
        <w:rPr>
          <w:b/>
          <w:i/>
        </w:rPr>
        <w:tab/>
      </w:r>
      <w:r w:rsidRPr="00734E74">
        <w:rPr>
          <w:b/>
          <w:i/>
        </w:rPr>
        <w:tab/>
      </w:r>
      <w:r w:rsidRPr="00734E74">
        <w:rPr>
          <w:b/>
          <w:i/>
        </w:rPr>
        <w:tab/>
        <w:t xml:space="preserve">         </w:t>
      </w:r>
      <w:r w:rsidRPr="00734E74">
        <w:t xml:space="preserve"> </w:t>
      </w:r>
      <w:r w:rsidRPr="00734E74">
        <w:rPr>
          <w:lang w:val="en-US"/>
        </w:rPr>
        <w:t xml:space="preserve">            </w:t>
      </w:r>
      <w:r w:rsidRPr="00734E74">
        <w:t xml:space="preserve"> </w:t>
      </w:r>
      <w:r w:rsidRPr="00734E74">
        <w:rPr>
          <w:lang w:val="en-US"/>
        </w:rPr>
        <w:t xml:space="preserve"> </w:t>
      </w:r>
      <w:r w:rsidR="00FC44B5" w:rsidRPr="00734E74">
        <w:t xml:space="preserve"> </w:t>
      </w:r>
      <w:r w:rsidRPr="00734E74">
        <w:t xml:space="preserve">                                                                  </w:t>
      </w:r>
    </w:p>
    <w:p w:rsidR="004F4CBD" w:rsidRPr="00734E74" w:rsidRDefault="004F4CBD" w:rsidP="00B61598">
      <w:pPr>
        <w:ind w:firstLine="709"/>
      </w:pPr>
      <w:r w:rsidRPr="00734E74">
        <w:t>Финансов резултат/собствен капитал</w:t>
      </w:r>
    </w:p>
    <w:p w:rsidR="00BB4043" w:rsidRPr="00734E74" w:rsidRDefault="004F4CBD" w:rsidP="00B61598">
      <w:pPr>
        <w:ind w:firstLine="709"/>
      </w:pPr>
      <w:r w:rsidRPr="00734E74">
        <w:rPr>
          <w:lang w:val="en-US"/>
        </w:rPr>
        <w:t>(</w:t>
      </w:r>
      <w:r w:rsidRPr="00734E74">
        <w:t>4 252</w:t>
      </w:r>
      <w:r w:rsidRPr="00734E74">
        <w:rPr>
          <w:lang w:val="en-US"/>
        </w:rPr>
        <w:t>)</w:t>
      </w:r>
      <w:r w:rsidRPr="00734E74">
        <w:t>/200 659 = - 0,02</w:t>
      </w:r>
      <w:r w:rsidR="00BB4043" w:rsidRPr="00734E74">
        <w:t xml:space="preserve"> за 2013 г.</w:t>
      </w:r>
    </w:p>
    <w:p w:rsidR="00BB4043" w:rsidRPr="00734E74" w:rsidRDefault="004F4CBD" w:rsidP="00B61598">
      <w:pPr>
        <w:ind w:firstLine="709"/>
      </w:pPr>
      <w:r w:rsidRPr="00734E74">
        <w:rPr>
          <w:lang w:val="en-US"/>
        </w:rPr>
        <w:t>(</w:t>
      </w:r>
      <w:r w:rsidRPr="00734E74">
        <w:t>7 282</w:t>
      </w:r>
      <w:r w:rsidRPr="00734E74">
        <w:rPr>
          <w:lang w:val="en-US"/>
        </w:rPr>
        <w:t>)</w:t>
      </w:r>
      <w:r w:rsidRPr="00734E74">
        <w:t>/193 314 = - 0,04</w:t>
      </w:r>
      <w:r w:rsidR="00BB4043" w:rsidRPr="00734E74">
        <w:t xml:space="preserve"> за 2014 г.</w:t>
      </w:r>
    </w:p>
    <w:p w:rsidR="00B968A9" w:rsidRPr="00734E74" w:rsidRDefault="00B968A9" w:rsidP="00B61598">
      <w:pPr>
        <w:ind w:firstLine="709"/>
        <w:rPr>
          <w:b/>
          <w:i/>
          <w:lang w:val="en-US"/>
        </w:rPr>
      </w:pPr>
    </w:p>
    <w:p w:rsidR="004F4CBD" w:rsidRPr="00734E74" w:rsidRDefault="004F4CBD" w:rsidP="00B61598">
      <w:pPr>
        <w:ind w:firstLine="709"/>
        <w:rPr>
          <w:b/>
          <w:i/>
        </w:rPr>
      </w:pPr>
      <w:r w:rsidRPr="00734E74">
        <w:rPr>
          <w:b/>
          <w:i/>
        </w:rPr>
        <w:t>Рентабилност на пасивите</w:t>
      </w:r>
      <w:r w:rsidRPr="00734E74">
        <w:rPr>
          <w:b/>
          <w:i/>
        </w:rPr>
        <w:tab/>
      </w:r>
      <w:r w:rsidRPr="00734E74">
        <w:rPr>
          <w:b/>
          <w:i/>
        </w:rPr>
        <w:tab/>
      </w:r>
      <w:r w:rsidRPr="00734E74">
        <w:rPr>
          <w:b/>
          <w:i/>
        </w:rPr>
        <w:tab/>
      </w:r>
      <w:r w:rsidRPr="00734E74">
        <w:rPr>
          <w:b/>
          <w:i/>
        </w:rPr>
        <w:tab/>
      </w:r>
      <w:r w:rsidRPr="00734E74">
        <w:rPr>
          <w:b/>
          <w:i/>
        </w:rPr>
        <w:tab/>
      </w:r>
      <w:r w:rsidRPr="00734E74">
        <w:rPr>
          <w:b/>
          <w:i/>
        </w:rPr>
        <w:tab/>
        <w:t xml:space="preserve">          </w:t>
      </w:r>
      <w:r w:rsidR="00FC44B5" w:rsidRPr="00734E74">
        <w:rPr>
          <w:b/>
          <w:i/>
        </w:rPr>
        <w:t xml:space="preserve"> </w:t>
      </w:r>
      <w:r w:rsidRPr="00734E74">
        <w:rPr>
          <w:b/>
          <w:i/>
        </w:rPr>
        <w:t xml:space="preserve"> </w:t>
      </w:r>
    </w:p>
    <w:p w:rsidR="004F4CBD" w:rsidRPr="00734E74" w:rsidRDefault="004F4CBD" w:rsidP="00B61598">
      <w:pPr>
        <w:ind w:firstLine="709"/>
      </w:pPr>
      <w:r w:rsidRPr="00734E74">
        <w:t>Финансов резултат/Пасиви</w:t>
      </w:r>
    </w:p>
    <w:p w:rsidR="00BB4043" w:rsidRPr="00734E74" w:rsidRDefault="004F4CBD" w:rsidP="00B61598">
      <w:pPr>
        <w:ind w:firstLine="709"/>
      </w:pPr>
      <w:r w:rsidRPr="00734E74">
        <w:rPr>
          <w:lang w:val="en-US"/>
        </w:rPr>
        <w:t>(</w:t>
      </w:r>
      <w:r w:rsidRPr="00734E74">
        <w:t>4 252</w:t>
      </w:r>
      <w:r w:rsidRPr="00734E74">
        <w:rPr>
          <w:lang w:val="en-US"/>
        </w:rPr>
        <w:t>)</w:t>
      </w:r>
      <w:r w:rsidRPr="00734E74">
        <w:t>/4 034 = - 1,05</w:t>
      </w:r>
      <w:r w:rsidR="00BB4043" w:rsidRPr="00734E74">
        <w:t xml:space="preserve"> за 2013 г.</w:t>
      </w:r>
    </w:p>
    <w:p w:rsidR="00BB4043" w:rsidRPr="00734E74" w:rsidRDefault="004F4CBD" w:rsidP="00B61598">
      <w:pPr>
        <w:ind w:firstLine="709"/>
      </w:pPr>
      <w:r w:rsidRPr="00734E74">
        <w:rPr>
          <w:lang w:val="en-US"/>
        </w:rPr>
        <w:t>(</w:t>
      </w:r>
      <w:r w:rsidRPr="00734E74">
        <w:t>7 282</w:t>
      </w:r>
      <w:r w:rsidRPr="00734E74">
        <w:rPr>
          <w:lang w:val="en-US"/>
        </w:rPr>
        <w:t>)</w:t>
      </w:r>
      <w:r w:rsidRPr="00734E74">
        <w:t>/5 116 = - 1,42</w:t>
      </w:r>
      <w:r w:rsidR="00BB4043" w:rsidRPr="00734E74">
        <w:t xml:space="preserve"> за 2014 г.</w:t>
      </w:r>
    </w:p>
    <w:p w:rsidR="004F4CBD" w:rsidRPr="00734E74" w:rsidRDefault="004F4CBD" w:rsidP="00B61598">
      <w:pPr>
        <w:ind w:firstLine="709"/>
      </w:pPr>
    </w:p>
    <w:p w:rsidR="004F4CBD" w:rsidRPr="00734E74" w:rsidRDefault="004F4CBD" w:rsidP="00B61598">
      <w:pPr>
        <w:ind w:firstLine="709"/>
        <w:rPr>
          <w:b/>
          <w:i/>
        </w:rPr>
      </w:pPr>
      <w:r w:rsidRPr="00734E74">
        <w:rPr>
          <w:b/>
          <w:i/>
        </w:rPr>
        <w:t>Рентабилност на активите</w:t>
      </w:r>
      <w:r w:rsidRPr="00734E74">
        <w:rPr>
          <w:b/>
          <w:i/>
        </w:rPr>
        <w:tab/>
      </w:r>
      <w:r w:rsidRPr="00734E74">
        <w:rPr>
          <w:b/>
          <w:i/>
        </w:rPr>
        <w:tab/>
      </w:r>
      <w:r w:rsidRPr="00734E74">
        <w:rPr>
          <w:b/>
          <w:i/>
        </w:rPr>
        <w:tab/>
      </w:r>
      <w:r w:rsidRPr="00734E74">
        <w:rPr>
          <w:b/>
          <w:i/>
        </w:rPr>
        <w:tab/>
      </w:r>
      <w:r w:rsidRPr="00734E74">
        <w:rPr>
          <w:b/>
          <w:i/>
        </w:rPr>
        <w:tab/>
      </w:r>
      <w:r w:rsidRPr="00734E74">
        <w:rPr>
          <w:b/>
          <w:i/>
        </w:rPr>
        <w:tab/>
        <w:t xml:space="preserve">         </w:t>
      </w:r>
      <w:r w:rsidR="00FC44B5" w:rsidRPr="00734E74">
        <w:rPr>
          <w:b/>
          <w:i/>
        </w:rPr>
        <w:t xml:space="preserve">  </w:t>
      </w:r>
    </w:p>
    <w:p w:rsidR="004F4CBD" w:rsidRPr="00734E74" w:rsidRDefault="004F4CBD" w:rsidP="00B61598">
      <w:pPr>
        <w:ind w:firstLine="709"/>
      </w:pPr>
      <w:r w:rsidRPr="00734E74">
        <w:t>Финансов резултат/Активи</w:t>
      </w:r>
    </w:p>
    <w:p w:rsidR="00BB4043" w:rsidRPr="00734E74" w:rsidRDefault="004F4CBD" w:rsidP="00B61598">
      <w:pPr>
        <w:ind w:firstLine="709"/>
      </w:pPr>
      <w:r w:rsidRPr="00734E74">
        <w:rPr>
          <w:lang w:val="en-US"/>
        </w:rPr>
        <w:t>(</w:t>
      </w:r>
      <w:r w:rsidRPr="00734E74">
        <w:t>4 252</w:t>
      </w:r>
      <w:r w:rsidRPr="00734E74">
        <w:rPr>
          <w:lang w:val="en-US"/>
        </w:rPr>
        <w:t>)</w:t>
      </w:r>
      <w:r w:rsidRPr="00734E74">
        <w:t>/204 693 = - 0,02</w:t>
      </w:r>
      <w:r w:rsidR="00BB4043" w:rsidRPr="00734E74">
        <w:t xml:space="preserve"> за 2013 г.</w:t>
      </w:r>
    </w:p>
    <w:p w:rsidR="00BB4043" w:rsidRPr="00734E74" w:rsidRDefault="004F4CBD" w:rsidP="00B61598">
      <w:pPr>
        <w:ind w:firstLine="709"/>
      </w:pPr>
      <w:r w:rsidRPr="00734E74">
        <w:rPr>
          <w:lang w:val="en-US"/>
        </w:rPr>
        <w:t>(</w:t>
      </w:r>
      <w:r w:rsidRPr="00734E74">
        <w:t>7 282</w:t>
      </w:r>
      <w:r w:rsidRPr="00734E74">
        <w:rPr>
          <w:lang w:val="en-US"/>
        </w:rPr>
        <w:t>)</w:t>
      </w:r>
      <w:r w:rsidRPr="00734E74">
        <w:t>/198 430 = - 0,04</w:t>
      </w:r>
      <w:r w:rsidR="00BB4043" w:rsidRPr="00734E74">
        <w:t xml:space="preserve"> за 2014 г.</w:t>
      </w:r>
    </w:p>
    <w:p w:rsidR="00B61598" w:rsidRDefault="00B61598" w:rsidP="00896370">
      <w:pPr>
        <w:autoSpaceDE w:val="0"/>
        <w:autoSpaceDN w:val="0"/>
        <w:adjustRightInd w:val="0"/>
        <w:ind w:firstLine="720"/>
        <w:jc w:val="both"/>
        <w:rPr>
          <w:rFonts w:eastAsia="Calibri"/>
          <w:i/>
          <w:sz w:val="22"/>
          <w:szCs w:val="22"/>
          <w:lang w:eastAsia="en-US"/>
        </w:rPr>
      </w:pPr>
    </w:p>
    <w:p w:rsidR="004F4CBD" w:rsidRPr="00716193" w:rsidRDefault="004F4CBD" w:rsidP="00896370">
      <w:pPr>
        <w:autoSpaceDE w:val="0"/>
        <w:autoSpaceDN w:val="0"/>
        <w:adjustRightInd w:val="0"/>
        <w:ind w:firstLine="720"/>
        <w:jc w:val="both"/>
        <w:rPr>
          <w:rFonts w:eastAsia="Calibri"/>
          <w:i/>
          <w:sz w:val="22"/>
          <w:szCs w:val="22"/>
          <w:lang w:eastAsia="en-US"/>
        </w:rPr>
      </w:pPr>
      <w:r w:rsidRPr="00716193">
        <w:rPr>
          <w:rFonts w:eastAsia="Calibri"/>
          <w:i/>
          <w:sz w:val="22"/>
          <w:szCs w:val="22"/>
          <w:lang w:eastAsia="en-US"/>
        </w:rPr>
        <w:t>Дружеството отчита отрицателен финансов резултат и за двете години на одитирания период, поради което коефициентите за рентабилност са отрицателни величини. Видно от стойностите им, се наблюдава увеличение в степента на декапитализация на дружеството.</w:t>
      </w:r>
    </w:p>
    <w:p w:rsidR="004F4CBD" w:rsidRPr="00716193" w:rsidRDefault="004F4CBD" w:rsidP="004F4CBD">
      <w:pPr>
        <w:rPr>
          <w:b/>
          <w:sz w:val="16"/>
          <w:szCs w:val="16"/>
        </w:rPr>
      </w:pPr>
    </w:p>
    <w:p w:rsidR="004F4CBD" w:rsidRPr="00716193" w:rsidRDefault="004F4CBD" w:rsidP="00B61598">
      <w:pPr>
        <w:ind w:left="709"/>
        <w:rPr>
          <w:b/>
          <w:sz w:val="22"/>
          <w:szCs w:val="22"/>
        </w:rPr>
      </w:pPr>
      <w:r w:rsidRPr="00716193">
        <w:rPr>
          <w:b/>
          <w:sz w:val="16"/>
          <w:szCs w:val="16"/>
        </w:rPr>
        <w:t>КОЕФИЦИЕНТИ ЗА  ЕФЕКТИВНОСТ</w:t>
      </w:r>
      <w:r w:rsidRPr="00716193">
        <w:rPr>
          <w:b/>
          <w:sz w:val="20"/>
          <w:szCs w:val="20"/>
        </w:rPr>
        <w:t xml:space="preserve"> </w:t>
      </w:r>
      <w:r w:rsidRPr="00716193">
        <w:rPr>
          <w:b/>
          <w:sz w:val="20"/>
          <w:szCs w:val="20"/>
        </w:rPr>
        <w:tab/>
      </w:r>
      <w:r w:rsidRPr="00716193">
        <w:rPr>
          <w:b/>
          <w:sz w:val="20"/>
          <w:szCs w:val="20"/>
        </w:rPr>
        <w:tab/>
      </w:r>
      <w:r w:rsidRPr="00716193">
        <w:rPr>
          <w:b/>
          <w:sz w:val="20"/>
          <w:szCs w:val="20"/>
        </w:rPr>
        <w:tab/>
      </w:r>
      <w:r w:rsidRPr="00716193">
        <w:rPr>
          <w:b/>
          <w:sz w:val="22"/>
          <w:szCs w:val="22"/>
        </w:rPr>
        <w:t xml:space="preserve">                    </w:t>
      </w:r>
      <w:r w:rsidR="00FC44B5" w:rsidRPr="00716193">
        <w:rPr>
          <w:b/>
          <w:sz w:val="22"/>
          <w:szCs w:val="22"/>
        </w:rPr>
        <w:t xml:space="preserve">                  </w:t>
      </w:r>
    </w:p>
    <w:p w:rsidR="004F4CBD" w:rsidRPr="00716193" w:rsidRDefault="004F4CBD" w:rsidP="00B61598">
      <w:pPr>
        <w:tabs>
          <w:tab w:val="left" w:pos="7088"/>
        </w:tabs>
        <w:ind w:left="709"/>
        <w:rPr>
          <w:sz w:val="22"/>
          <w:szCs w:val="22"/>
        </w:rPr>
      </w:pPr>
      <w:r w:rsidRPr="00716193">
        <w:rPr>
          <w:b/>
          <w:i/>
          <w:sz w:val="22"/>
          <w:szCs w:val="22"/>
        </w:rPr>
        <w:t>Ефективност на разходите</w:t>
      </w:r>
      <w:r w:rsidRPr="00716193">
        <w:rPr>
          <w:sz w:val="22"/>
          <w:szCs w:val="22"/>
        </w:rPr>
        <w:t xml:space="preserve"> </w:t>
      </w:r>
      <w:r w:rsidRPr="00716193">
        <w:rPr>
          <w:b/>
          <w:i/>
          <w:sz w:val="22"/>
          <w:szCs w:val="22"/>
        </w:rPr>
        <w:t>за дейността</w:t>
      </w:r>
      <w:r w:rsidR="00ED1B2A" w:rsidRPr="00716193">
        <w:rPr>
          <w:rStyle w:val="FootnoteReference"/>
          <w:b/>
          <w:i/>
          <w:sz w:val="22"/>
          <w:szCs w:val="22"/>
        </w:rPr>
        <w:footnoteReference w:id="103"/>
      </w:r>
      <w:r w:rsidRPr="00716193">
        <w:rPr>
          <w:b/>
          <w:i/>
          <w:sz w:val="22"/>
          <w:szCs w:val="22"/>
        </w:rPr>
        <w:t xml:space="preserve">                         </w:t>
      </w:r>
      <w:r w:rsidR="00FC44B5" w:rsidRPr="00716193">
        <w:rPr>
          <w:b/>
          <w:i/>
          <w:sz w:val="22"/>
          <w:szCs w:val="22"/>
        </w:rPr>
        <w:t xml:space="preserve">                             </w:t>
      </w:r>
    </w:p>
    <w:p w:rsidR="004F4CBD" w:rsidRPr="00734E74" w:rsidRDefault="004F4CBD" w:rsidP="00B61598">
      <w:pPr>
        <w:ind w:left="709"/>
      </w:pPr>
      <w:r w:rsidRPr="00734E74">
        <w:lastRenderedPageBreak/>
        <w:t>Приходи/разходи</w:t>
      </w:r>
    </w:p>
    <w:p w:rsidR="00BB4043" w:rsidRPr="00734E74" w:rsidRDefault="004F4CBD" w:rsidP="00B61598">
      <w:pPr>
        <w:ind w:left="709"/>
      </w:pPr>
      <w:r w:rsidRPr="00734E74">
        <w:t>8 894/13 002 = 0,68</w:t>
      </w:r>
      <w:r w:rsidR="00BB4043" w:rsidRPr="00734E74">
        <w:t xml:space="preserve"> за 2013 г.</w:t>
      </w:r>
    </w:p>
    <w:p w:rsidR="00BB4043" w:rsidRPr="00734E74" w:rsidRDefault="004F4CBD" w:rsidP="00B61598">
      <w:pPr>
        <w:ind w:left="709"/>
      </w:pPr>
      <w:r w:rsidRPr="00734E74">
        <w:t>7 964/14 829 = 0,54</w:t>
      </w:r>
      <w:r w:rsidR="00BB4043" w:rsidRPr="00734E74">
        <w:t xml:space="preserve"> за 2014 г.</w:t>
      </w:r>
    </w:p>
    <w:p w:rsidR="004F4CBD" w:rsidRPr="00734E74" w:rsidRDefault="004F4CBD" w:rsidP="00B61598">
      <w:pPr>
        <w:tabs>
          <w:tab w:val="left" w:pos="7088"/>
          <w:tab w:val="left" w:pos="7371"/>
        </w:tabs>
        <w:ind w:left="709"/>
      </w:pPr>
      <w:r w:rsidRPr="00734E74">
        <w:rPr>
          <w:b/>
          <w:i/>
        </w:rPr>
        <w:t>Ефективност на приходите от дейността</w:t>
      </w:r>
      <w:r w:rsidR="00ED1B2A" w:rsidRPr="00734E74">
        <w:rPr>
          <w:rStyle w:val="FootnoteReference"/>
          <w:b/>
          <w:i/>
        </w:rPr>
        <w:footnoteReference w:id="104"/>
      </w:r>
      <w:r w:rsidRPr="00734E74">
        <w:rPr>
          <w:b/>
          <w:i/>
        </w:rPr>
        <w:t xml:space="preserve">                                      </w:t>
      </w:r>
      <w:r w:rsidR="00EE2D60" w:rsidRPr="00734E74">
        <w:rPr>
          <w:b/>
          <w:i/>
        </w:rPr>
        <w:t xml:space="preserve">              </w:t>
      </w:r>
    </w:p>
    <w:p w:rsidR="004F4CBD" w:rsidRPr="00734E74" w:rsidRDefault="004F4CBD" w:rsidP="00B61598">
      <w:pPr>
        <w:ind w:left="709"/>
      </w:pPr>
      <w:r w:rsidRPr="00734E74">
        <w:t>Разходи/приходи</w:t>
      </w:r>
    </w:p>
    <w:p w:rsidR="00BB4043" w:rsidRPr="00734E74" w:rsidRDefault="004F4CBD" w:rsidP="00B61598">
      <w:pPr>
        <w:ind w:left="709"/>
      </w:pPr>
      <w:r w:rsidRPr="00734E74">
        <w:t>13 002/8 894 = 1,46</w:t>
      </w:r>
      <w:r w:rsidR="00BB4043" w:rsidRPr="00734E74">
        <w:t xml:space="preserve"> за 2013 г.</w:t>
      </w:r>
    </w:p>
    <w:p w:rsidR="00BB4043" w:rsidRPr="00734E74" w:rsidRDefault="004F4CBD" w:rsidP="00B61598">
      <w:pPr>
        <w:ind w:left="709"/>
      </w:pPr>
      <w:r w:rsidRPr="00734E74">
        <w:t>14 829/7 964 = 1,86</w:t>
      </w:r>
      <w:r w:rsidR="00BB4043" w:rsidRPr="00734E74">
        <w:t xml:space="preserve"> за 2014 г.</w:t>
      </w:r>
    </w:p>
    <w:p w:rsidR="00423799" w:rsidRPr="00734E74" w:rsidRDefault="004F4CBD" w:rsidP="004F4CBD">
      <w:pPr>
        <w:jc w:val="both"/>
      </w:pPr>
      <w:r w:rsidRPr="00734E74">
        <w:tab/>
      </w:r>
    </w:p>
    <w:p w:rsidR="004F4CBD" w:rsidRPr="00734E74" w:rsidRDefault="004F4CBD" w:rsidP="003C736D">
      <w:pPr>
        <w:ind w:firstLine="709"/>
        <w:jc w:val="both"/>
        <w:rPr>
          <w:i/>
        </w:rPr>
      </w:pPr>
      <w:r w:rsidRPr="00734E74">
        <w:rPr>
          <w:i/>
        </w:rPr>
        <w:t>По-големият темп на нарастване на разходите спрямо темпа на намаляване на приходите през двете години на одитирания период</w:t>
      </w:r>
      <w:r w:rsidR="00186373" w:rsidRPr="00734E74">
        <w:rPr>
          <w:i/>
        </w:rPr>
        <w:t xml:space="preserve"> води до </w:t>
      </w:r>
      <w:r w:rsidRPr="00734E74">
        <w:rPr>
          <w:i/>
        </w:rPr>
        <w:t xml:space="preserve">увеличаване коефициента за ефективност на приходите и </w:t>
      </w:r>
      <w:r w:rsidR="00186373" w:rsidRPr="00734E74">
        <w:rPr>
          <w:i/>
        </w:rPr>
        <w:t>до</w:t>
      </w:r>
      <w:r w:rsidR="00896370" w:rsidRPr="00734E74">
        <w:rPr>
          <w:i/>
        </w:rPr>
        <w:t xml:space="preserve"> намаляване този</w:t>
      </w:r>
      <w:r w:rsidRPr="00734E74">
        <w:rPr>
          <w:i/>
        </w:rPr>
        <w:t xml:space="preserve"> за ефективност на разходите за дейността на дружеството през 2014 г. спрямо 2013 г.</w:t>
      </w:r>
    </w:p>
    <w:p w:rsidR="004F4CBD" w:rsidRPr="00734E74" w:rsidRDefault="004F4CBD" w:rsidP="004F4CBD">
      <w:pPr>
        <w:rPr>
          <w:b/>
        </w:rPr>
      </w:pPr>
    </w:p>
    <w:p w:rsidR="001B1808" w:rsidRPr="00734E74" w:rsidRDefault="001B1808" w:rsidP="004F4CBD">
      <w:pPr>
        <w:rPr>
          <w:b/>
        </w:rPr>
      </w:pPr>
    </w:p>
    <w:p w:rsidR="004F4CBD" w:rsidRPr="00734E74" w:rsidRDefault="004F4CBD" w:rsidP="00B61598">
      <w:pPr>
        <w:ind w:left="709"/>
        <w:rPr>
          <w:b/>
        </w:rPr>
      </w:pPr>
      <w:r w:rsidRPr="00734E74">
        <w:rPr>
          <w:b/>
        </w:rPr>
        <w:t>КОЕФИЦИЕНТИ ЗА  ЛИКВИДНОСТ</w:t>
      </w:r>
      <w:r w:rsidR="00AB063B" w:rsidRPr="00734E74">
        <w:rPr>
          <w:rStyle w:val="FootnoteReference"/>
          <w:b/>
        </w:rPr>
        <w:footnoteReference w:id="105"/>
      </w:r>
      <w:r w:rsidRPr="00734E74">
        <w:rPr>
          <w:b/>
        </w:rPr>
        <w:t xml:space="preserve">                                                                               </w:t>
      </w:r>
    </w:p>
    <w:p w:rsidR="004F4CBD" w:rsidRPr="00734E74" w:rsidRDefault="004F4CBD" w:rsidP="00B61598">
      <w:pPr>
        <w:autoSpaceDE w:val="0"/>
        <w:autoSpaceDN w:val="0"/>
        <w:adjustRightInd w:val="0"/>
        <w:ind w:left="709"/>
        <w:jc w:val="both"/>
        <w:rPr>
          <w:b/>
        </w:rPr>
      </w:pPr>
      <w:r w:rsidRPr="00734E74">
        <w:rPr>
          <w:b/>
          <w:i/>
        </w:rPr>
        <w:t xml:space="preserve">                                                                    </w:t>
      </w:r>
      <w:r w:rsidRPr="00734E74">
        <w:rPr>
          <w:b/>
          <w:i/>
        </w:rPr>
        <w:tab/>
      </w:r>
      <w:r w:rsidRPr="00734E74">
        <w:rPr>
          <w:b/>
          <w:i/>
        </w:rPr>
        <w:tab/>
        <w:t xml:space="preserve">                      </w:t>
      </w:r>
      <w:r w:rsidR="00BB4043" w:rsidRPr="00734E74">
        <w:rPr>
          <w:b/>
          <w:i/>
          <w:lang w:val="en-US"/>
        </w:rPr>
        <w:t xml:space="preserve">    </w:t>
      </w:r>
      <w:r w:rsidR="00EE2D60" w:rsidRPr="00734E74">
        <w:rPr>
          <w:b/>
          <w:i/>
        </w:rPr>
        <w:t xml:space="preserve"> </w:t>
      </w:r>
    </w:p>
    <w:p w:rsidR="004F4CBD" w:rsidRPr="00734E74" w:rsidRDefault="004F4CBD" w:rsidP="00B61598">
      <w:pPr>
        <w:tabs>
          <w:tab w:val="left" w:pos="6946"/>
          <w:tab w:val="left" w:pos="7088"/>
          <w:tab w:val="left" w:pos="8505"/>
        </w:tabs>
        <w:ind w:left="709"/>
        <w:rPr>
          <w:b/>
        </w:rPr>
      </w:pPr>
      <w:r w:rsidRPr="00734E74">
        <w:rPr>
          <w:b/>
          <w:i/>
        </w:rPr>
        <w:t>Обща ликвидност</w:t>
      </w:r>
      <w:r w:rsidR="00AB063B" w:rsidRPr="00734E74">
        <w:rPr>
          <w:rStyle w:val="FootnoteReference"/>
          <w:b/>
          <w:i/>
        </w:rPr>
        <w:footnoteReference w:id="106"/>
      </w:r>
      <w:r w:rsidRPr="00734E74">
        <w:rPr>
          <w:b/>
          <w:i/>
        </w:rPr>
        <w:t xml:space="preserve">    </w:t>
      </w:r>
      <w:r w:rsidRPr="00734E74">
        <w:rPr>
          <w:b/>
          <w:i/>
          <w:lang w:val="en-US"/>
        </w:rPr>
        <w:t xml:space="preserve">                                                                                  </w:t>
      </w:r>
      <w:r w:rsidRPr="00734E74">
        <w:rPr>
          <w:b/>
          <w:i/>
        </w:rPr>
        <w:t xml:space="preserve">          </w:t>
      </w:r>
      <w:r w:rsidR="00FC44B5" w:rsidRPr="00734E74">
        <w:rPr>
          <w:b/>
          <w:i/>
        </w:rPr>
        <w:t xml:space="preserve">          </w:t>
      </w:r>
      <w:r w:rsidR="00EE2D60" w:rsidRPr="00734E74">
        <w:rPr>
          <w:b/>
          <w:i/>
        </w:rPr>
        <w:t xml:space="preserve">  </w:t>
      </w:r>
      <w:r w:rsidRPr="00734E74">
        <w:rPr>
          <w:b/>
          <w:i/>
        </w:rPr>
        <w:t xml:space="preserve">                                                                                                      </w:t>
      </w:r>
    </w:p>
    <w:p w:rsidR="004F4CBD" w:rsidRPr="00734E74" w:rsidRDefault="004F4CBD" w:rsidP="00B61598">
      <w:pPr>
        <w:ind w:left="709"/>
      </w:pPr>
      <w:r w:rsidRPr="00734E74">
        <w:t>Краткотрайни активи/краткосрочни задължения</w:t>
      </w:r>
    </w:p>
    <w:p w:rsidR="00BB4043" w:rsidRPr="00734E74" w:rsidRDefault="004F4CBD" w:rsidP="00B61598">
      <w:pPr>
        <w:ind w:left="709"/>
      </w:pPr>
      <w:r w:rsidRPr="00734E74">
        <w:t>8 797/1 265 = 6,95</w:t>
      </w:r>
      <w:r w:rsidR="00BB4043" w:rsidRPr="00734E74">
        <w:t xml:space="preserve"> за 2013 г.</w:t>
      </w:r>
    </w:p>
    <w:p w:rsidR="00BB4043" w:rsidRPr="00734E74" w:rsidRDefault="004F4CBD" w:rsidP="00B61598">
      <w:pPr>
        <w:ind w:left="709"/>
      </w:pPr>
      <w:r w:rsidRPr="00734E74">
        <w:t>6 653/1 502 = 4,43</w:t>
      </w:r>
      <w:r w:rsidR="00BB4043" w:rsidRPr="00734E74">
        <w:t xml:space="preserve"> за 2014 г.</w:t>
      </w:r>
    </w:p>
    <w:p w:rsidR="004F4CBD" w:rsidRPr="00734E74" w:rsidRDefault="004F4CBD" w:rsidP="00B61598">
      <w:pPr>
        <w:ind w:left="709"/>
      </w:pPr>
    </w:p>
    <w:p w:rsidR="004F4CBD" w:rsidRPr="00734E74" w:rsidRDefault="004F4CBD" w:rsidP="00B61598">
      <w:pPr>
        <w:tabs>
          <w:tab w:val="left" w:pos="7088"/>
          <w:tab w:val="left" w:pos="8505"/>
        </w:tabs>
        <w:ind w:left="709"/>
        <w:rPr>
          <w:b/>
          <w:i/>
        </w:rPr>
      </w:pPr>
      <w:r w:rsidRPr="00734E74">
        <w:rPr>
          <w:b/>
          <w:i/>
        </w:rPr>
        <w:t>Бърза ликвидност</w:t>
      </w:r>
      <w:r w:rsidR="00A54A8D" w:rsidRPr="00734E74">
        <w:rPr>
          <w:rStyle w:val="FootnoteReference"/>
          <w:b/>
          <w:i/>
        </w:rPr>
        <w:footnoteReference w:id="107"/>
      </w:r>
      <w:r w:rsidRPr="00734E74">
        <w:rPr>
          <w:b/>
          <w:i/>
        </w:rPr>
        <w:t xml:space="preserve">                                                                                                           </w:t>
      </w:r>
      <w:r w:rsidRPr="00734E74">
        <w:rPr>
          <w:b/>
          <w:i/>
          <w:lang w:val="en-US"/>
        </w:rPr>
        <w:t xml:space="preserve"> </w:t>
      </w:r>
      <w:r w:rsidR="00EE2D60" w:rsidRPr="00734E74">
        <w:rPr>
          <w:b/>
          <w:i/>
        </w:rPr>
        <w:t xml:space="preserve">  </w:t>
      </w:r>
    </w:p>
    <w:p w:rsidR="004F4CBD" w:rsidRPr="00734E74" w:rsidRDefault="00A54A8D" w:rsidP="00B61598">
      <w:pPr>
        <w:autoSpaceDE w:val="0"/>
        <w:autoSpaceDN w:val="0"/>
        <w:adjustRightInd w:val="0"/>
        <w:ind w:left="709"/>
        <w:rPr>
          <w:i/>
        </w:rPr>
      </w:pPr>
      <w:r w:rsidRPr="00734E74" w:rsidDel="00A54A8D">
        <w:rPr>
          <w:rFonts w:eastAsia="Calibri"/>
          <w:bCs/>
          <w:i/>
          <w:lang w:eastAsia="en-US"/>
        </w:rPr>
        <w:t xml:space="preserve"> </w:t>
      </w:r>
      <w:r w:rsidR="004F4CBD" w:rsidRPr="00734E74">
        <w:rPr>
          <w:rFonts w:eastAsia="Calibri"/>
          <w:bCs/>
          <w:lang w:eastAsia="en-US"/>
        </w:rPr>
        <w:t>(Краткотрайни активи – Материални запаси)/краткосрочни задължения</w:t>
      </w:r>
    </w:p>
    <w:p w:rsidR="00225F85" w:rsidRPr="00734E74" w:rsidRDefault="004F4CBD" w:rsidP="00B61598">
      <w:pPr>
        <w:ind w:left="709"/>
      </w:pPr>
      <w:r w:rsidRPr="00734E74">
        <w:rPr>
          <w:lang w:val="en-US"/>
        </w:rPr>
        <w:t>(</w:t>
      </w:r>
      <w:r w:rsidRPr="00734E74">
        <w:t>8 797 – 326</w:t>
      </w:r>
      <w:r w:rsidRPr="00734E74">
        <w:rPr>
          <w:lang w:val="en-US"/>
        </w:rPr>
        <w:t>)</w:t>
      </w:r>
      <w:r w:rsidRPr="00734E74">
        <w:t>/1 265 = 6,70</w:t>
      </w:r>
      <w:r w:rsidR="00225F85" w:rsidRPr="00734E74">
        <w:t xml:space="preserve"> за 2013 г.</w:t>
      </w:r>
    </w:p>
    <w:p w:rsidR="00225F85" w:rsidRPr="00734E74" w:rsidRDefault="004F4CBD" w:rsidP="00B61598">
      <w:pPr>
        <w:ind w:left="709"/>
      </w:pPr>
      <w:r w:rsidRPr="00734E74">
        <w:rPr>
          <w:lang w:val="en-US"/>
        </w:rPr>
        <w:t xml:space="preserve">(6 653 </w:t>
      </w:r>
      <w:r w:rsidRPr="00734E74">
        <w:t>– 202</w:t>
      </w:r>
      <w:r w:rsidRPr="00734E74">
        <w:rPr>
          <w:lang w:val="en-US"/>
        </w:rPr>
        <w:t>)</w:t>
      </w:r>
      <w:r w:rsidRPr="00734E74">
        <w:t>/1 502 = 4,29</w:t>
      </w:r>
      <w:r w:rsidR="00225F85" w:rsidRPr="00734E74">
        <w:t xml:space="preserve"> за 2014 г.</w:t>
      </w:r>
    </w:p>
    <w:p w:rsidR="004F4CBD" w:rsidRPr="00734E74" w:rsidRDefault="004F4CBD" w:rsidP="00B61598">
      <w:pPr>
        <w:ind w:left="709"/>
        <w:rPr>
          <w:b/>
          <w:i/>
        </w:rPr>
      </w:pPr>
    </w:p>
    <w:p w:rsidR="004F4CBD" w:rsidRPr="00734E74" w:rsidRDefault="004F4CBD" w:rsidP="00B61598">
      <w:pPr>
        <w:tabs>
          <w:tab w:val="left" w:pos="7088"/>
          <w:tab w:val="left" w:pos="8505"/>
        </w:tabs>
        <w:ind w:left="709"/>
        <w:rPr>
          <w:b/>
          <w:i/>
        </w:rPr>
      </w:pPr>
      <w:r w:rsidRPr="00734E74">
        <w:rPr>
          <w:b/>
          <w:i/>
        </w:rPr>
        <w:t>Незабавна ликвидност</w:t>
      </w:r>
      <w:r w:rsidR="00A54A8D" w:rsidRPr="00734E74">
        <w:rPr>
          <w:rStyle w:val="FootnoteReference"/>
          <w:b/>
          <w:i/>
        </w:rPr>
        <w:footnoteReference w:id="108"/>
      </w:r>
      <w:r w:rsidRPr="00734E74">
        <w:rPr>
          <w:b/>
          <w:i/>
        </w:rPr>
        <w:t xml:space="preserve">                                                                                      </w:t>
      </w:r>
      <w:r w:rsidRPr="00734E74">
        <w:rPr>
          <w:b/>
          <w:i/>
          <w:lang w:val="en-US"/>
        </w:rPr>
        <w:t xml:space="preserve">              </w:t>
      </w:r>
      <w:r w:rsidR="00EE2D60" w:rsidRPr="00734E74">
        <w:rPr>
          <w:b/>
          <w:i/>
        </w:rPr>
        <w:t xml:space="preserve"> </w:t>
      </w:r>
    </w:p>
    <w:p w:rsidR="004F4CBD" w:rsidRPr="00734E74" w:rsidRDefault="00A54A8D" w:rsidP="00B61598">
      <w:pPr>
        <w:ind w:left="709"/>
      </w:pPr>
      <w:r w:rsidRPr="00734E74" w:rsidDel="00A54A8D">
        <w:rPr>
          <w:rFonts w:eastAsia="Calibri"/>
          <w:bCs/>
          <w:i/>
          <w:lang w:eastAsia="en-US"/>
        </w:rPr>
        <w:t xml:space="preserve"> </w:t>
      </w:r>
      <w:r w:rsidR="004F4CBD" w:rsidRPr="00734E74">
        <w:rPr>
          <w:lang w:val="en-US"/>
        </w:rPr>
        <w:t>(</w:t>
      </w:r>
      <w:r w:rsidR="004F4CBD" w:rsidRPr="00734E74">
        <w:t>Краткосрочни вземания+парични ср-ва</w:t>
      </w:r>
      <w:r w:rsidR="004F4CBD" w:rsidRPr="00734E74">
        <w:rPr>
          <w:lang w:val="en-US"/>
        </w:rPr>
        <w:t>)</w:t>
      </w:r>
      <w:r w:rsidR="004F4CBD" w:rsidRPr="00734E74">
        <w:t>/краткосрочни задължения</w:t>
      </w:r>
    </w:p>
    <w:p w:rsidR="00225F85" w:rsidRPr="00734E74" w:rsidRDefault="004F4CBD" w:rsidP="00B61598">
      <w:pPr>
        <w:ind w:left="709"/>
      </w:pPr>
      <w:r w:rsidRPr="00734E74">
        <w:rPr>
          <w:lang w:val="en-US"/>
        </w:rPr>
        <w:t>(</w:t>
      </w:r>
      <w:r w:rsidRPr="00734E74">
        <w:t>2 974 +</w:t>
      </w:r>
      <w:r w:rsidRPr="00734E74">
        <w:rPr>
          <w:lang w:val="en-US"/>
        </w:rPr>
        <w:t xml:space="preserve"> </w:t>
      </w:r>
      <w:r w:rsidRPr="00734E74">
        <w:t>5 497</w:t>
      </w:r>
      <w:r w:rsidRPr="00734E74">
        <w:rPr>
          <w:lang w:val="en-US"/>
        </w:rPr>
        <w:t>)</w:t>
      </w:r>
      <w:r w:rsidRPr="00734E74">
        <w:t>/1 265 = 6,70</w:t>
      </w:r>
      <w:r w:rsidR="00225F85" w:rsidRPr="00734E74">
        <w:t xml:space="preserve"> за 2013 г.</w:t>
      </w:r>
    </w:p>
    <w:p w:rsidR="00225F85" w:rsidRPr="00734E74" w:rsidRDefault="004F4CBD" w:rsidP="00B61598">
      <w:pPr>
        <w:ind w:left="709"/>
      </w:pPr>
      <w:r w:rsidRPr="00734E74">
        <w:rPr>
          <w:lang w:val="en-US"/>
        </w:rPr>
        <w:t>(</w:t>
      </w:r>
      <w:r w:rsidRPr="00734E74">
        <w:t>3 435 + 3 016</w:t>
      </w:r>
      <w:r w:rsidRPr="00734E74">
        <w:rPr>
          <w:lang w:val="en-US"/>
        </w:rPr>
        <w:t>)</w:t>
      </w:r>
      <w:r w:rsidRPr="00734E74">
        <w:t>/1 502 = 4,29</w:t>
      </w:r>
      <w:r w:rsidR="00225F85" w:rsidRPr="00734E74">
        <w:t xml:space="preserve"> за 2014 г.</w:t>
      </w:r>
    </w:p>
    <w:p w:rsidR="004F4CBD" w:rsidRPr="00734E74" w:rsidRDefault="004F4CBD" w:rsidP="00B61598">
      <w:pPr>
        <w:ind w:left="709"/>
        <w:rPr>
          <w:b/>
          <w:i/>
        </w:rPr>
      </w:pPr>
    </w:p>
    <w:p w:rsidR="004F4CBD" w:rsidRPr="00734E74" w:rsidRDefault="004F4CBD" w:rsidP="00B61598">
      <w:pPr>
        <w:tabs>
          <w:tab w:val="left" w:pos="7088"/>
          <w:tab w:val="left" w:pos="8505"/>
        </w:tabs>
        <w:ind w:left="709"/>
        <w:rPr>
          <w:b/>
          <w:i/>
        </w:rPr>
      </w:pPr>
      <w:r w:rsidRPr="00734E74">
        <w:rPr>
          <w:b/>
          <w:i/>
        </w:rPr>
        <w:t>Абсолютна ликвидност</w:t>
      </w:r>
      <w:r w:rsidR="00A54A8D" w:rsidRPr="00734E74">
        <w:rPr>
          <w:rStyle w:val="FootnoteReference"/>
          <w:b/>
          <w:i/>
        </w:rPr>
        <w:footnoteReference w:id="109"/>
      </w:r>
      <w:r w:rsidRPr="00734E74">
        <w:rPr>
          <w:b/>
          <w:i/>
        </w:rPr>
        <w:t xml:space="preserve">                                                           </w:t>
      </w:r>
      <w:r w:rsidR="008C62D7" w:rsidRPr="00734E74">
        <w:rPr>
          <w:b/>
          <w:i/>
        </w:rPr>
        <w:t xml:space="preserve">                              </w:t>
      </w:r>
    </w:p>
    <w:p w:rsidR="004F4CBD" w:rsidRPr="00734E74" w:rsidRDefault="004F4CBD" w:rsidP="00B61598">
      <w:pPr>
        <w:ind w:left="709"/>
      </w:pPr>
      <w:r w:rsidRPr="00734E74">
        <w:lastRenderedPageBreak/>
        <w:t>Парични средства/краткосрочни задължения</w:t>
      </w:r>
    </w:p>
    <w:p w:rsidR="00225F85" w:rsidRPr="00734E74" w:rsidRDefault="004F4CBD" w:rsidP="00B61598">
      <w:pPr>
        <w:ind w:left="709"/>
      </w:pPr>
      <w:r w:rsidRPr="00734E74">
        <w:t>5 497/1 265 = 4,35</w:t>
      </w:r>
      <w:r w:rsidR="00225F85" w:rsidRPr="00734E74">
        <w:t xml:space="preserve"> за 2013 г.</w:t>
      </w:r>
    </w:p>
    <w:p w:rsidR="00225F85" w:rsidRPr="00734E74" w:rsidRDefault="004F4CBD" w:rsidP="00B61598">
      <w:pPr>
        <w:ind w:firstLine="709"/>
      </w:pPr>
      <w:r w:rsidRPr="00734E74">
        <w:t>3 016/1 502 = 2,01</w:t>
      </w:r>
      <w:r w:rsidR="00225F85" w:rsidRPr="00734E74">
        <w:t xml:space="preserve"> за 2014 г.</w:t>
      </w:r>
    </w:p>
    <w:p w:rsidR="004F4CBD" w:rsidRPr="00734E74" w:rsidRDefault="004F4CBD" w:rsidP="00B61598">
      <w:pPr>
        <w:ind w:firstLine="709"/>
        <w:jc w:val="both"/>
        <w:rPr>
          <w:i/>
        </w:rPr>
      </w:pPr>
      <w:r w:rsidRPr="00734E74">
        <w:rPr>
          <w:rFonts w:eastAsia="Calibri"/>
          <w:b/>
          <w:i/>
          <w:lang w:eastAsia="en-US"/>
        </w:rPr>
        <w:tab/>
      </w:r>
      <w:r w:rsidR="000D7766" w:rsidRPr="00734E74">
        <w:rPr>
          <w:rFonts w:eastAsia="Calibri"/>
          <w:i/>
          <w:lang w:eastAsia="en-US"/>
        </w:rPr>
        <w:t>„</w:t>
      </w:r>
      <w:r w:rsidRPr="00734E74">
        <w:rPr>
          <w:rFonts w:eastAsia="Calibri"/>
          <w:i/>
          <w:lang w:eastAsia="en-US"/>
        </w:rPr>
        <w:t>НСБ</w:t>
      </w:r>
      <w:r w:rsidR="000D7766" w:rsidRPr="00734E74">
        <w:rPr>
          <w:rFonts w:eastAsia="Calibri"/>
          <w:i/>
          <w:lang w:eastAsia="en-US"/>
        </w:rPr>
        <w:t>“</w:t>
      </w:r>
      <w:r w:rsidRPr="00734E74">
        <w:rPr>
          <w:rFonts w:eastAsia="Calibri"/>
          <w:i/>
          <w:lang w:eastAsia="en-US"/>
        </w:rPr>
        <w:t xml:space="preserve"> ЕАД е в ликвидно състояние, позволяващо своевременно и в пълен обем да изпълни своите краткосрочни задължения за сметка на текущите си активи.</w:t>
      </w:r>
    </w:p>
    <w:p w:rsidR="004F4CBD" w:rsidRPr="00734E74" w:rsidRDefault="004F4CBD" w:rsidP="00B61598">
      <w:pPr>
        <w:ind w:firstLine="709"/>
        <w:jc w:val="both"/>
        <w:rPr>
          <w:rFonts w:eastAsia="Calibri"/>
          <w:b/>
          <w:lang w:eastAsia="en-US"/>
        </w:rPr>
      </w:pPr>
    </w:p>
    <w:p w:rsidR="00225F85" w:rsidRPr="00734E74" w:rsidRDefault="00225F85" w:rsidP="00B61598">
      <w:pPr>
        <w:ind w:firstLine="709"/>
        <w:jc w:val="both"/>
        <w:rPr>
          <w:rFonts w:eastAsia="Calibri"/>
          <w:b/>
          <w:lang w:eastAsia="en-US"/>
        </w:rPr>
      </w:pPr>
    </w:p>
    <w:p w:rsidR="004F4CBD" w:rsidRPr="00734E74" w:rsidRDefault="004F4CBD" w:rsidP="00B61598">
      <w:pPr>
        <w:ind w:firstLine="709"/>
        <w:jc w:val="both"/>
        <w:rPr>
          <w:rFonts w:eastAsia="Calibri"/>
          <w:b/>
          <w:lang w:val="en-US" w:eastAsia="en-US"/>
        </w:rPr>
      </w:pPr>
      <w:r w:rsidRPr="00734E74">
        <w:rPr>
          <w:rFonts w:eastAsia="Calibri"/>
          <w:b/>
          <w:lang w:eastAsia="en-US"/>
        </w:rPr>
        <w:t xml:space="preserve">НЕТЕН ОБОРОТЕН КАПИТАЛ </w:t>
      </w:r>
      <w:r w:rsidRPr="00734E74">
        <w:rPr>
          <w:rFonts w:eastAsia="Calibri"/>
          <w:b/>
          <w:lang w:val="en-US" w:eastAsia="en-US"/>
        </w:rPr>
        <w:t>(</w:t>
      </w:r>
      <w:r w:rsidRPr="00734E74">
        <w:rPr>
          <w:rFonts w:eastAsia="Calibri"/>
          <w:b/>
          <w:lang w:eastAsia="en-US"/>
        </w:rPr>
        <w:t>НОК</w:t>
      </w:r>
      <w:r w:rsidRPr="00734E74">
        <w:rPr>
          <w:rFonts w:eastAsia="Calibri"/>
          <w:b/>
          <w:lang w:val="en-US" w:eastAsia="en-US"/>
        </w:rPr>
        <w:t>)</w:t>
      </w:r>
      <w:r w:rsidR="00A54A8D" w:rsidRPr="00734E74">
        <w:rPr>
          <w:rStyle w:val="FootnoteReference"/>
          <w:rFonts w:eastAsia="Calibri"/>
          <w:b/>
          <w:lang w:val="en-US" w:eastAsia="en-US"/>
        </w:rPr>
        <w:footnoteReference w:id="110"/>
      </w:r>
    </w:p>
    <w:p w:rsidR="004F4CBD" w:rsidRPr="00734E74" w:rsidRDefault="004F4CBD" w:rsidP="00B61598">
      <w:pPr>
        <w:autoSpaceDE w:val="0"/>
        <w:autoSpaceDN w:val="0"/>
        <w:adjustRightInd w:val="0"/>
        <w:ind w:firstLine="709"/>
        <w:jc w:val="both"/>
        <w:rPr>
          <w:rFonts w:eastAsia="Calibri"/>
          <w:iCs/>
          <w:lang w:eastAsia="en-US"/>
        </w:rPr>
      </w:pPr>
      <w:r w:rsidRPr="00734E74">
        <w:rPr>
          <w:rFonts w:eastAsia="Calibri"/>
          <w:iCs/>
          <w:lang w:eastAsia="en-US"/>
        </w:rPr>
        <w:t xml:space="preserve"> </w:t>
      </w:r>
      <w:r w:rsidRPr="00734E74">
        <w:rPr>
          <w:rFonts w:eastAsia="Calibri"/>
          <w:iCs/>
          <w:lang w:val="en-US" w:eastAsia="en-US"/>
        </w:rPr>
        <w:t xml:space="preserve">                                                         </w:t>
      </w:r>
      <w:r w:rsidRPr="00734E74">
        <w:rPr>
          <w:rFonts w:eastAsia="Calibri"/>
          <w:iCs/>
          <w:lang w:eastAsia="en-US"/>
        </w:rPr>
        <w:t xml:space="preserve"> </w:t>
      </w:r>
      <w:r w:rsidR="008C62D7" w:rsidRPr="00734E74">
        <w:rPr>
          <w:rFonts w:eastAsia="Calibri"/>
          <w:iCs/>
          <w:lang w:val="en-US" w:eastAsia="en-US"/>
        </w:rPr>
        <w:t xml:space="preserve">       </w:t>
      </w:r>
      <w:r w:rsidR="0067589B" w:rsidRPr="00734E74">
        <w:rPr>
          <w:rFonts w:eastAsia="Calibri"/>
          <w:iCs/>
          <w:lang w:eastAsia="en-US"/>
        </w:rPr>
        <w:t xml:space="preserve">   </w:t>
      </w:r>
    </w:p>
    <w:p w:rsidR="004F4CBD" w:rsidRPr="00734E74" w:rsidRDefault="004F4CBD" w:rsidP="00B61598">
      <w:pPr>
        <w:autoSpaceDE w:val="0"/>
        <w:autoSpaceDN w:val="0"/>
        <w:adjustRightInd w:val="0"/>
        <w:ind w:firstLine="709"/>
        <w:jc w:val="both"/>
        <w:rPr>
          <w:rFonts w:eastAsia="Calibri"/>
          <w:iCs/>
          <w:lang w:eastAsia="en-US"/>
        </w:rPr>
      </w:pPr>
      <w:r w:rsidRPr="00734E74">
        <w:rPr>
          <w:rFonts w:eastAsia="Calibri"/>
          <w:iCs/>
          <w:lang w:eastAsia="en-US"/>
        </w:rPr>
        <w:t xml:space="preserve">Краткотрайни активи – Краткосрочни задължения                                </w:t>
      </w:r>
      <w:r w:rsidRPr="00734E74">
        <w:rPr>
          <w:rFonts w:eastAsia="Calibri"/>
          <w:iCs/>
          <w:lang w:val="en-US" w:eastAsia="en-US"/>
        </w:rPr>
        <w:t xml:space="preserve"> </w:t>
      </w:r>
      <w:r w:rsidR="008C62D7" w:rsidRPr="00734E74">
        <w:rPr>
          <w:rFonts w:eastAsia="Calibri"/>
          <w:iCs/>
          <w:lang w:eastAsia="en-US"/>
        </w:rPr>
        <w:t xml:space="preserve"> </w:t>
      </w:r>
      <w:r w:rsidR="0067589B" w:rsidRPr="00734E74">
        <w:rPr>
          <w:rFonts w:eastAsia="Calibri"/>
          <w:iCs/>
          <w:lang w:eastAsia="en-US"/>
        </w:rPr>
        <w:t xml:space="preserve"> </w:t>
      </w:r>
      <w:r w:rsidRPr="00734E74">
        <w:rPr>
          <w:rFonts w:eastAsia="Calibri"/>
          <w:iCs/>
          <w:lang w:eastAsia="en-US"/>
        </w:rPr>
        <w:t xml:space="preserve">                   </w:t>
      </w:r>
    </w:p>
    <w:p w:rsidR="00225F85" w:rsidRPr="00734E74" w:rsidRDefault="004F4CBD" w:rsidP="00B61598">
      <w:pPr>
        <w:ind w:firstLine="709"/>
      </w:pPr>
      <w:r w:rsidRPr="00734E74">
        <w:rPr>
          <w:rFonts w:eastAsia="Calibri"/>
          <w:iCs/>
          <w:lang w:eastAsia="en-US"/>
        </w:rPr>
        <w:t>8 797 – 1 265 = 7 532</w:t>
      </w:r>
      <w:r w:rsidR="00225F85" w:rsidRPr="00734E74">
        <w:t xml:space="preserve"> за 2013 г.</w:t>
      </w:r>
    </w:p>
    <w:p w:rsidR="00225F85" w:rsidRPr="00734E74" w:rsidRDefault="004F4CBD" w:rsidP="00B61598">
      <w:pPr>
        <w:ind w:firstLine="709"/>
      </w:pPr>
      <w:r w:rsidRPr="00734E74">
        <w:rPr>
          <w:rFonts w:eastAsia="Calibri"/>
          <w:iCs/>
          <w:lang w:eastAsia="en-US"/>
        </w:rPr>
        <w:t>6 653 – 1 502 = 5 151</w:t>
      </w:r>
      <w:r w:rsidR="00225F85" w:rsidRPr="00734E74">
        <w:t xml:space="preserve"> за 2014 г.</w:t>
      </w:r>
    </w:p>
    <w:p w:rsidR="006B32AE" w:rsidRPr="00734E74" w:rsidRDefault="006B32AE" w:rsidP="00B61598">
      <w:pPr>
        <w:autoSpaceDE w:val="0"/>
        <w:autoSpaceDN w:val="0"/>
        <w:adjustRightInd w:val="0"/>
        <w:ind w:firstLine="709"/>
        <w:jc w:val="both"/>
        <w:rPr>
          <w:rFonts w:eastAsia="Calibri"/>
          <w:b/>
          <w:i/>
          <w:iCs/>
          <w:lang w:eastAsia="en-US"/>
        </w:rPr>
      </w:pPr>
    </w:p>
    <w:p w:rsidR="004F4CBD" w:rsidRPr="00734E74" w:rsidRDefault="004F4CBD" w:rsidP="00B61598">
      <w:pPr>
        <w:autoSpaceDE w:val="0"/>
        <w:autoSpaceDN w:val="0"/>
        <w:adjustRightInd w:val="0"/>
        <w:ind w:firstLine="709"/>
        <w:jc w:val="both"/>
        <w:rPr>
          <w:rFonts w:eastAsia="Calibri"/>
          <w:i/>
          <w:iCs/>
          <w:lang w:eastAsia="en-US"/>
        </w:rPr>
      </w:pPr>
      <w:r w:rsidRPr="00734E74">
        <w:rPr>
          <w:rFonts w:eastAsia="Calibri"/>
          <w:b/>
          <w:i/>
          <w:iCs/>
          <w:lang w:eastAsia="en-US"/>
        </w:rPr>
        <w:tab/>
      </w:r>
      <w:r w:rsidRPr="00734E74">
        <w:rPr>
          <w:rFonts w:eastAsia="Calibri"/>
          <w:i/>
          <w:iCs/>
          <w:lang w:eastAsia="en-US"/>
        </w:rPr>
        <w:t xml:space="preserve">Налице е неблагоприятна тенденция на намаляване на НОК през 2014 г. спрямо 2013 г.,  но все още дружеството </w:t>
      </w:r>
      <w:r w:rsidRPr="00734E74">
        <w:rPr>
          <w:rFonts w:eastAsia="Calibri"/>
          <w:i/>
          <w:lang w:eastAsia="en-US"/>
        </w:rPr>
        <w:t>разполага с достатъчен по обем собствен оборотен капитал, за да функционира нормално.</w:t>
      </w:r>
    </w:p>
    <w:p w:rsidR="004F4CBD" w:rsidRPr="00734E74" w:rsidRDefault="004F4CBD" w:rsidP="00B61598">
      <w:pPr>
        <w:ind w:firstLine="709"/>
        <w:rPr>
          <w:b/>
        </w:rPr>
      </w:pPr>
    </w:p>
    <w:p w:rsidR="00225F85" w:rsidRPr="00734E74" w:rsidRDefault="00225F85" w:rsidP="00B61598">
      <w:pPr>
        <w:ind w:firstLine="709"/>
        <w:rPr>
          <w:b/>
        </w:rPr>
      </w:pPr>
    </w:p>
    <w:p w:rsidR="004F4CBD" w:rsidRPr="00734E74" w:rsidRDefault="004F4CBD" w:rsidP="00B61598">
      <w:pPr>
        <w:tabs>
          <w:tab w:val="left" w:pos="7088"/>
          <w:tab w:val="left" w:pos="8505"/>
        </w:tabs>
        <w:ind w:firstLine="709"/>
        <w:rPr>
          <w:b/>
        </w:rPr>
      </w:pPr>
      <w:r w:rsidRPr="00734E74">
        <w:rPr>
          <w:b/>
        </w:rPr>
        <w:t xml:space="preserve">КОЕФИЦИЕНТИ ЗА ФИНАНСОВА УСТОЙЧИВОСТ </w:t>
      </w:r>
      <w:r w:rsidRPr="00734E74">
        <w:rPr>
          <w:b/>
          <w:lang w:val="en-US"/>
        </w:rPr>
        <w:t xml:space="preserve">                                                     </w:t>
      </w:r>
      <w:r w:rsidR="008C62D7" w:rsidRPr="00734E74">
        <w:rPr>
          <w:b/>
          <w:lang w:val="en-US"/>
        </w:rPr>
        <w:t xml:space="preserve"> </w:t>
      </w:r>
      <w:r w:rsidRPr="00734E74">
        <w:rPr>
          <w:b/>
          <w:lang w:val="en-US"/>
        </w:rPr>
        <w:t xml:space="preserve"> </w:t>
      </w:r>
      <w:r w:rsidR="008C62D7" w:rsidRPr="00734E74">
        <w:rPr>
          <w:b/>
          <w:lang w:val="en-US"/>
        </w:rPr>
        <w:t xml:space="preserve">  </w:t>
      </w:r>
      <w:r w:rsidR="0067589B" w:rsidRPr="00734E74">
        <w:rPr>
          <w:b/>
        </w:rPr>
        <w:t xml:space="preserve">   </w:t>
      </w:r>
    </w:p>
    <w:p w:rsidR="004F4CBD" w:rsidRPr="00734E74" w:rsidRDefault="004F4CBD" w:rsidP="00B61598">
      <w:pPr>
        <w:tabs>
          <w:tab w:val="left" w:pos="7088"/>
          <w:tab w:val="left" w:pos="8505"/>
        </w:tabs>
        <w:ind w:firstLine="709"/>
      </w:pPr>
      <w:r w:rsidRPr="00734E74">
        <w:rPr>
          <w:b/>
          <w:i/>
        </w:rPr>
        <w:t>Финансова автономност</w:t>
      </w:r>
      <w:r w:rsidRPr="00734E74">
        <w:t xml:space="preserve">  </w:t>
      </w:r>
      <w:r w:rsidRPr="00734E74">
        <w:rPr>
          <w:b/>
          <w:i/>
          <w:lang w:val="en-US"/>
        </w:rPr>
        <w:t>(</w:t>
      </w:r>
      <w:r w:rsidRPr="00734E74">
        <w:rPr>
          <w:b/>
          <w:i/>
        </w:rPr>
        <w:t>коефициент на финансов риск</w:t>
      </w:r>
      <w:r w:rsidRPr="00734E74">
        <w:rPr>
          <w:b/>
          <w:i/>
          <w:lang w:val="en-US"/>
        </w:rPr>
        <w:t>)</w:t>
      </w:r>
      <w:r w:rsidR="00A54A8D" w:rsidRPr="00734E74">
        <w:rPr>
          <w:rStyle w:val="FootnoteReference"/>
          <w:b/>
          <w:i/>
          <w:lang w:val="en-US"/>
        </w:rPr>
        <w:footnoteReference w:id="111"/>
      </w:r>
      <w:r w:rsidRPr="00734E74">
        <w:t xml:space="preserve">                             </w:t>
      </w:r>
      <w:r w:rsidR="008C62D7" w:rsidRPr="00734E74">
        <w:rPr>
          <w:lang w:val="en-US"/>
        </w:rPr>
        <w:t xml:space="preserve">          </w:t>
      </w:r>
      <w:r w:rsidR="0067589B" w:rsidRPr="00734E74">
        <w:t xml:space="preserve">  </w:t>
      </w:r>
    </w:p>
    <w:p w:rsidR="004F4CBD" w:rsidRPr="00734E74" w:rsidRDefault="004F4CBD" w:rsidP="00B61598">
      <w:pPr>
        <w:ind w:firstLine="709"/>
      </w:pPr>
      <w:r w:rsidRPr="00734E74">
        <w:t>Собствен капитал/Привлечен капитал</w:t>
      </w:r>
    </w:p>
    <w:p w:rsidR="00225F85" w:rsidRPr="00734E74" w:rsidRDefault="004F4CBD" w:rsidP="00B61598">
      <w:pPr>
        <w:ind w:firstLine="709"/>
      </w:pPr>
      <w:r w:rsidRPr="00734E74">
        <w:t>200 659/4 034 = 49,74</w:t>
      </w:r>
      <w:r w:rsidR="00225F85" w:rsidRPr="00734E74">
        <w:t xml:space="preserve"> за 2013 г.</w:t>
      </w:r>
    </w:p>
    <w:p w:rsidR="00225F85" w:rsidRPr="00734E74" w:rsidRDefault="004F4CBD" w:rsidP="00B61598">
      <w:pPr>
        <w:ind w:firstLine="709"/>
      </w:pPr>
      <w:r w:rsidRPr="00734E74">
        <w:t>193 314/5 116 = 37,79</w:t>
      </w:r>
      <w:r w:rsidR="00225F85" w:rsidRPr="00734E74">
        <w:t xml:space="preserve"> за 2014 г.</w:t>
      </w:r>
    </w:p>
    <w:p w:rsidR="006B32AE" w:rsidRPr="00734E74" w:rsidRDefault="006B32AE" w:rsidP="00B61598">
      <w:pPr>
        <w:ind w:firstLine="709"/>
        <w:jc w:val="both"/>
        <w:rPr>
          <w:b/>
          <w:i/>
        </w:rPr>
      </w:pPr>
    </w:p>
    <w:p w:rsidR="004F4CBD" w:rsidRPr="00734E74" w:rsidRDefault="004F4CBD" w:rsidP="00B61598">
      <w:pPr>
        <w:ind w:firstLine="709"/>
        <w:jc w:val="both"/>
        <w:rPr>
          <w:i/>
        </w:rPr>
      </w:pPr>
      <w:r w:rsidRPr="00734E74">
        <w:rPr>
          <w:b/>
          <w:i/>
        </w:rPr>
        <w:tab/>
      </w:r>
      <w:r w:rsidRPr="00734E74">
        <w:rPr>
          <w:i/>
        </w:rPr>
        <w:t xml:space="preserve">Дружеството запазва финансовата си автономност и има нисък финансов риск. Коефициентът показва, че дружеството е в състояние да </w:t>
      </w:r>
      <w:r w:rsidRPr="00734E74">
        <w:rPr>
          <w:rFonts w:eastAsia="Calibri"/>
          <w:i/>
          <w:lang w:eastAsia="en-US"/>
        </w:rPr>
        <w:t>привлича допълнителен капитал без риск да загуби финансовата си устойчивост.</w:t>
      </w:r>
    </w:p>
    <w:p w:rsidR="004F4CBD" w:rsidRPr="00734E74" w:rsidRDefault="004F4CBD" w:rsidP="00B61598">
      <w:pPr>
        <w:ind w:firstLine="709"/>
        <w:rPr>
          <w:b/>
          <w:i/>
        </w:rPr>
      </w:pPr>
    </w:p>
    <w:p w:rsidR="004F4CBD" w:rsidRPr="00734E74" w:rsidRDefault="004F4CBD" w:rsidP="00B61598">
      <w:pPr>
        <w:tabs>
          <w:tab w:val="left" w:pos="7088"/>
          <w:tab w:val="left" w:pos="8505"/>
        </w:tabs>
        <w:ind w:firstLine="709"/>
        <w:rPr>
          <w:lang w:val="en-US"/>
        </w:rPr>
      </w:pPr>
      <w:r w:rsidRPr="00734E74">
        <w:rPr>
          <w:b/>
          <w:i/>
        </w:rPr>
        <w:t>Собственост</w:t>
      </w:r>
      <w:r w:rsidR="0003571A" w:rsidRPr="00734E74">
        <w:rPr>
          <w:rStyle w:val="FootnoteReference"/>
          <w:b/>
          <w:i/>
        </w:rPr>
        <w:footnoteReference w:id="112"/>
      </w:r>
      <w:r w:rsidRPr="00734E74">
        <w:rPr>
          <w:b/>
          <w:i/>
        </w:rPr>
        <w:t xml:space="preserve">                                                                                        </w:t>
      </w:r>
      <w:r w:rsidRPr="00734E74">
        <w:rPr>
          <w:b/>
          <w:i/>
          <w:lang w:val="en-US"/>
        </w:rPr>
        <w:t xml:space="preserve">                </w:t>
      </w:r>
      <w:r w:rsidR="008C62D7" w:rsidRPr="00734E74">
        <w:rPr>
          <w:b/>
          <w:i/>
          <w:lang w:val="en-US"/>
        </w:rPr>
        <w:t xml:space="preserve">              </w:t>
      </w:r>
    </w:p>
    <w:p w:rsidR="004F4CBD" w:rsidRPr="00734E74" w:rsidRDefault="004F4CBD" w:rsidP="00B61598">
      <w:pPr>
        <w:ind w:firstLine="709"/>
      </w:pPr>
      <w:r w:rsidRPr="00734E74">
        <w:t>Собствен капитал/Активи</w:t>
      </w:r>
    </w:p>
    <w:p w:rsidR="00225F85" w:rsidRPr="00734E74" w:rsidRDefault="004F4CBD" w:rsidP="00B61598">
      <w:pPr>
        <w:ind w:firstLine="709"/>
      </w:pPr>
      <w:r w:rsidRPr="00734E74">
        <w:t>200 659/204 693 = 0,98</w:t>
      </w:r>
      <w:r w:rsidR="00225F85" w:rsidRPr="00734E74">
        <w:t xml:space="preserve"> за 2013 г.</w:t>
      </w:r>
    </w:p>
    <w:p w:rsidR="00225F85" w:rsidRPr="00734E74" w:rsidRDefault="004F4CBD" w:rsidP="00B61598">
      <w:pPr>
        <w:ind w:firstLine="709"/>
      </w:pPr>
      <w:r w:rsidRPr="00734E74">
        <w:t>193 314/198 430 = 0,97</w:t>
      </w:r>
      <w:r w:rsidR="00225F85" w:rsidRPr="00734E74">
        <w:t xml:space="preserve"> за 2014 г.</w:t>
      </w:r>
    </w:p>
    <w:p w:rsidR="004F4CBD" w:rsidRPr="00734E74" w:rsidRDefault="004F4CBD" w:rsidP="00B61598">
      <w:pPr>
        <w:autoSpaceDE w:val="0"/>
        <w:autoSpaceDN w:val="0"/>
        <w:adjustRightInd w:val="0"/>
        <w:ind w:firstLine="709"/>
        <w:rPr>
          <w:i/>
        </w:rPr>
      </w:pPr>
      <w:r w:rsidRPr="00734E74">
        <w:rPr>
          <w:rFonts w:eastAsia="Calibri"/>
          <w:i/>
          <w:iCs/>
          <w:lang w:eastAsia="en-US"/>
        </w:rPr>
        <w:tab/>
        <w:t>98 % от активите на дружеството са покрити от собствения капитал.</w:t>
      </w:r>
    </w:p>
    <w:p w:rsidR="00225F85" w:rsidRPr="00734E74" w:rsidRDefault="00225F85" w:rsidP="00B61598">
      <w:pPr>
        <w:tabs>
          <w:tab w:val="left" w:pos="7088"/>
          <w:tab w:val="left" w:pos="8505"/>
        </w:tabs>
        <w:ind w:firstLine="709"/>
        <w:rPr>
          <w:b/>
          <w:i/>
        </w:rPr>
      </w:pPr>
    </w:p>
    <w:p w:rsidR="004F4CBD" w:rsidRPr="00734E74" w:rsidRDefault="004F4CBD" w:rsidP="00B61598">
      <w:pPr>
        <w:tabs>
          <w:tab w:val="left" w:pos="7088"/>
          <w:tab w:val="left" w:pos="8505"/>
        </w:tabs>
        <w:ind w:firstLine="709"/>
      </w:pPr>
      <w:r w:rsidRPr="00734E74">
        <w:rPr>
          <w:b/>
          <w:i/>
        </w:rPr>
        <w:t xml:space="preserve">Задлъжнялост                                                                                                      </w:t>
      </w:r>
      <w:r w:rsidR="008C62D7" w:rsidRPr="00734E74">
        <w:rPr>
          <w:b/>
          <w:i/>
          <w:lang w:val="en-US"/>
        </w:rPr>
        <w:t xml:space="preserve">            </w:t>
      </w:r>
    </w:p>
    <w:p w:rsidR="004F4CBD" w:rsidRPr="00734E74" w:rsidRDefault="004F4CBD" w:rsidP="00B61598">
      <w:pPr>
        <w:ind w:firstLine="709"/>
      </w:pPr>
      <w:r w:rsidRPr="00734E74">
        <w:t>Привлечен капитал/Собствен капитал</w:t>
      </w:r>
    </w:p>
    <w:p w:rsidR="00225F85" w:rsidRPr="00734E74" w:rsidRDefault="004F4CBD" w:rsidP="00B61598">
      <w:pPr>
        <w:ind w:firstLine="709"/>
      </w:pPr>
      <w:r w:rsidRPr="00734E74">
        <w:t>4 034/200 659 = 0,02</w:t>
      </w:r>
      <w:r w:rsidR="00225F85" w:rsidRPr="00734E74">
        <w:t xml:space="preserve"> за 2013 г.</w:t>
      </w:r>
    </w:p>
    <w:p w:rsidR="00225F85" w:rsidRPr="00734E74" w:rsidRDefault="004F4CBD" w:rsidP="00B61598">
      <w:pPr>
        <w:ind w:firstLine="709"/>
      </w:pPr>
      <w:r w:rsidRPr="00734E74">
        <w:t>5 116/193 314 = 0,03</w:t>
      </w:r>
      <w:r w:rsidR="00225F85" w:rsidRPr="00734E74">
        <w:t xml:space="preserve"> за 2014 г.</w:t>
      </w:r>
    </w:p>
    <w:p w:rsidR="006B32AE" w:rsidRPr="00734E74" w:rsidRDefault="006B32AE" w:rsidP="00B61598">
      <w:pPr>
        <w:ind w:firstLine="709"/>
        <w:jc w:val="both"/>
        <w:rPr>
          <w:b/>
          <w:i/>
        </w:rPr>
      </w:pPr>
    </w:p>
    <w:p w:rsidR="004F4CBD" w:rsidRPr="00734E74" w:rsidRDefault="004F4CBD" w:rsidP="00B61598">
      <w:pPr>
        <w:ind w:firstLine="709"/>
        <w:jc w:val="both"/>
        <w:rPr>
          <w:i/>
        </w:rPr>
      </w:pPr>
      <w:r w:rsidRPr="00734E74">
        <w:rPr>
          <w:b/>
          <w:i/>
        </w:rPr>
        <w:tab/>
      </w:r>
      <w:r w:rsidRPr="00734E74">
        <w:rPr>
          <w:i/>
        </w:rPr>
        <w:t>Коефициентът на задлъжнялост за двете години показва, че дружеството не е финансово зависимо от кредитори и се финансира изключително за сметка на собствени средства.</w:t>
      </w:r>
    </w:p>
    <w:p w:rsidR="004F4CBD" w:rsidRPr="00734E74" w:rsidRDefault="004F4CBD" w:rsidP="004F4CBD">
      <w:pPr>
        <w:tabs>
          <w:tab w:val="left" w:pos="0"/>
        </w:tabs>
        <w:ind w:firstLine="709"/>
        <w:jc w:val="both"/>
        <w:rPr>
          <w:i/>
          <w:spacing w:val="-2"/>
        </w:rPr>
      </w:pPr>
    </w:p>
    <w:p w:rsidR="004F4CBD" w:rsidRPr="00734E74" w:rsidRDefault="004F4CBD" w:rsidP="004F4CBD">
      <w:pPr>
        <w:tabs>
          <w:tab w:val="left" w:pos="0"/>
        </w:tabs>
        <w:ind w:firstLine="709"/>
        <w:jc w:val="both"/>
        <w:rPr>
          <w:i/>
          <w:spacing w:val="-2"/>
        </w:rPr>
      </w:pPr>
      <w:r w:rsidRPr="00734E74">
        <w:rPr>
          <w:i/>
          <w:spacing w:val="-2"/>
        </w:rPr>
        <w:t xml:space="preserve">В резултат на извършения сравнителен финансов анализ на </w:t>
      </w:r>
      <w:r w:rsidR="000D7766" w:rsidRPr="00734E74">
        <w:rPr>
          <w:i/>
          <w:spacing w:val="-2"/>
        </w:rPr>
        <w:t>„</w:t>
      </w:r>
      <w:r w:rsidRPr="00734E74">
        <w:rPr>
          <w:i/>
          <w:spacing w:val="-2"/>
        </w:rPr>
        <w:t>НСБ</w:t>
      </w:r>
      <w:r w:rsidR="000D7766" w:rsidRPr="00734E74">
        <w:rPr>
          <w:i/>
          <w:spacing w:val="-2"/>
        </w:rPr>
        <w:t>“</w:t>
      </w:r>
      <w:r w:rsidRPr="00734E74">
        <w:rPr>
          <w:i/>
          <w:spacing w:val="-2"/>
        </w:rPr>
        <w:t xml:space="preserve"> ЕАД за двете години на одитирания период, е установ</w:t>
      </w:r>
      <w:r w:rsidR="009C681D" w:rsidRPr="00734E74">
        <w:rPr>
          <w:i/>
          <w:spacing w:val="-2"/>
        </w:rPr>
        <w:t>ено</w:t>
      </w:r>
      <w:r w:rsidRPr="00734E74">
        <w:rPr>
          <w:i/>
          <w:spacing w:val="-2"/>
        </w:rPr>
        <w:t>:</w:t>
      </w:r>
    </w:p>
    <w:p w:rsidR="004F4CBD" w:rsidRPr="00734E74" w:rsidRDefault="004F4CBD" w:rsidP="006B32AE">
      <w:pPr>
        <w:widowControl w:val="0"/>
        <w:numPr>
          <w:ilvl w:val="0"/>
          <w:numId w:val="7"/>
        </w:numPr>
        <w:tabs>
          <w:tab w:val="left" w:pos="0"/>
          <w:tab w:val="left" w:pos="993"/>
        </w:tabs>
        <w:ind w:left="0" w:firstLine="709"/>
        <w:jc w:val="both"/>
        <w:rPr>
          <w:i/>
          <w:spacing w:val="-2"/>
        </w:rPr>
      </w:pPr>
      <w:r w:rsidRPr="00734E74">
        <w:rPr>
          <w:i/>
        </w:rPr>
        <w:t>намаляване на приходите и увеличаване на разходите за дейността на дружеството през 2014 г. спрямо 2013 г., като по-голям е темпът на нарастване на разходите спрямо темпа на намаляване на приходите</w:t>
      </w:r>
      <w:r w:rsidR="00A17CB4" w:rsidRPr="00734E74">
        <w:rPr>
          <w:i/>
        </w:rPr>
        <w:t>;</w:t>
      </w:r>
      <w:r w:rsidRPr="00734E74">
        <w:rPr>
          <w:i/>
        </w:rPr>
        <w:t xml:space="preserve"> </w:t>
      </w:r>
    </w:p>
    <w:p w:rsidR="004F4CBD" w:rsidRPr="00734E74" w:rsidRDefault="004F4CBD" w:rsidP="006B32AE">
      <w:pPr>
        <w:widowControl w:val="0"/>
        <w:numPr>
          <w:ilvl w:val="0"/>
          <w:numId w:val="7"/>
        </w:numPr>
        <w:tabs>
          <w:tab w:val="left" w:pos="0"/>
          <w:tab w:val="left" w:pos="993"/>
        </w:tabs>
        <w:ind w:left="0" w:firstLine="709"/>
        <w:jc w:val="both"/>
        <w:rPr>
          <w:i/>
          <w:spacing w:val="-2"/>
        </w:rPr>
      </w:pPr>
      <w:r w:rsidRPr="00734E74">
        <w:rPr>
          <w:i/>
          <w:spacing w:val="-2"/>
        </w:rPr>
        <w:t xml:space="preserve">финансовият резултат е отрицателен, като годишната загуба за 2014 г. нараства с 29  </w:t>
      </w:r>
      <w:r w:rsidR="00171E8A" w:rsidRPr="00734E74">
        <w:rPr>
          <w:i/>
          <w:spacing w:val="-2"/>
        </w:rPr>
        <w:t xml:space="preserve">на сто </w:t>
      </w:r>
      <w:r w:rsidRPr="00734E74">
        <w:rPr>
          <w:i/>
          <w:spacing w:val="-2"/>
        </w:rPr>
        <w:t>спрямо годишната за 2013 г.</w:t>
      </w:r>
      <w:r w:rsidR="00A17CB4" w:rsidRPr="00734E74">
        <w:rPr>
          <w:i/>
          <w:spacing w:val="-2"/>
        </w:rPr>
        <w:t>;</w:t>
      </w:r>
    </w:p>
    <w:p w:rsidR="004F4CBD" w:rsidRPr="00734E74" w:rsidRDefault="004F4CBD" w:rsidP="006B32AE">
      <w:pPr>
        <w:numPr>
          <w:ilvl w:val="0"/>
          <w:numId w:val="7"/>
        </w:numPr>
        <w:tabs>
          <w:tab w:val="left" w:pos="0"/>
          <w:tab w:val="left" w:pos="993"/>
        </w:tabs>
        <w:ind w:left="0" w:firstLine="709"/>
        <w:jc w:val="both"/>
        <w:rPr>
          <w:i/>
          <w:spacing w:val="-2"/>
        </w:rPr>
      </w:pPr>
      <w:r w:rsidRPr="00734E74">
        <w:rPr>
          <w:i/>
          <w:spacing w:val="-2"/>
        </w:rPr>
        <w:t>размерът на вземанията и размерът на задълженията нарастват пр</w:t>
      </w:r>
      <w:r w:rsidR="00907A47" w:rsidRPr="00734E74">
        <w:rPr>
          <w:i/>
          <w:spacing w:val="-2"/>
        </w:rPr>
        <w:t>ез 2014 г. спрямо 2013 г.</w:t>
      </w:r>
    </w:p>
    <w:p w:rsidR="00962CEB" w:rsidRPr="00734E74" w:rsidRDefault="00907A47" w:rsidP="006B32AE">
      <w:pPr>
        <w:tabs>
          <w:tab w:val="left" w:pos="0"/>
          <w:tab w:val="left" w:pos="993"/>
        </w:tabs>
        <w:ind w:firstLine="709"/>
        <w:jc w:val="both"/>
        <w:rPr>
          <w:i/>
          <w:spacing w:val="-2"/>
        </w:rPr>
      </w:pPr>
      <w:r w:rsidRPr="00734E74">
        <w:rPr>
          <w:i/>
          <w:spacing w:val="-2"/>
        </w:rPr>
        <w:tab/>
        <w:t>В</w:t>
      </w:r>
      <w:r w:rsidR="004F4CBD" w:rsidRPr="00734E74">
        <w:rPr>
          <w:i/>
          <w:spacing w:val="-2"/>
        </w:rPr>
        <w:t xml:space="preserve">ъпреки установената финансова дестабилизация: </w:t>
      </w:r>
    </w:p>
    <w:p w:rsidR="004F4CBD" w:rsidRPr="00734E74" w:rsidRDefault="00C71EBE" w:rsidP="006B32AE">
      <w:pPr>
        <w:numPr>
          <w:ilvl w:val="0"/>
          <w:numId w:val="7"/>
        </w:numPr>
        <w:tabs>
          <w:tab w:val="left" w:pos="993"/>
        </w:tabs>
        <w:ind w:left="0" w:firstLine="709"/>
        <w:jc w:val="both"/>
        <w:rPr>
          <w:i/>
        </w:rPr>
      </w:pPr>
      <w:r w:rsidRPr="00734E74">
        <w:rPr>
          <w:i/>
          <w:spacing w:val="-2"/>
        </w:rPr>
        <w:t>дружеството не е финансово зависимо от кредитори, финансира се изключително за сметка на</w:t>
      </w:r>
      <w:r w:rsidR="004F4CBD" w:rsidRPr="00734E74">
        <w:rPr>
          <w:i/>
        </w:rPr>
        <w:t xml:space="preserve"> собствени средства</w:t>
      </w:r>
      <w:r w:rsidR="00A17CB4" w:rsidRPr="00734E74">
        <w:rPr>
          <w:i/>
        </w:rPr>
        <w:t>;</w:t>
      </w:r>
    </w:p>
    <w:p w:rsidR="004F4CBD" w:rsidRPr="00734E74" w:rsidRDefault="004F4CBD" w:rsidP="006B32AE">
      <w:pPr>
        <w:numPr>
          <w:ilvl w:val="0"/>
          <w:numId w:val="7"/>
        </w:numPr>
        <w:tabs>
          <w:tab w:val="left" w:pos="993"/>
        </w:tabs>
        <w:ind w:left="0" w:firstLine="709"/>
        <w:jc w:val="both"/>
        <w:rPr>
          <w:i/>
        </w:rPr>
      </w:pPr>
      <w:r w:rsidRPr="00734E74">
        <w:rPr>
          <w:rFonts w:eastAsia="Calibri"/>
          <w:i/>
          <w:lang w:eastAsia="en-US"/>
        </w:rPr>
        <w:t>в ликвидно състояние е, позволяващо своевременно и в пълен обем да изпълни своите краткосрочни задължения за сметка на текущите си активи</w:t>
      </w:r>
      <w:r w:rsidR="00A17CB4" w:rsidRPr="00734E74">
        <w:rPr>
          <w:rFonts w:eastAsia="Calibri"/>
          <w:i/>
          <w:lang w:eastAsia="en-US"/>
        </w:rPr>
        <w:t>;</w:t>
      </w:r>
    </w:p>
    <w:p w:rsidR="004F4CBD" w:rsidRPr="00716193" w:rsidRDefault="004F4CBD" w:rsidP="006B32AE">
      <w:pPr>
        <w:numPr>
          <w:ilvl w:val="0"/>
          <w:numId w:val="7"/>
        </w:numPr>
        <w:tabs>
          <w:tab w:val="left" w:pos="993"/>
        </w:tabs>
        <w:ind w:left="0" w:firstLine="709"/>
        <w:jc w:val="both"/>
        <w:rPr>
          <w:b/>
          <w:i/>
          <w:spacing w:val="-2"/>
        </w:rPr>
      </w:pPr>
      <w:r w:rsidRPr="00734E74">
        <w:rPr>
          <w:i/>
        </w:rPr>
        <w:t>запазва финансовата си автономност и има нисък финансов риск</w:t>
      </w:r>
      <w:r w:rsidRPr="00716193">
        <w:rPr>
          <w:i/>
        </w:rPr>
        <w:t>.</w:t>
      </w:r>
    </w:p>
    <w:p w:rsidR="00A607C7" w:rsidRPr="00716193" w:rsidRDefault="00A607C7" w:rsidP="00A607C7">
      <w:pPr>
        <w:ind w:left="1069"/>
        <w:jc w:val="both"/>
        <w:rPr>
          <w:b/>
          <w:i/>
          <w:spacing w:val="-2"/>
        </w:rPr>
      </w:pPr>
    </w:p>
    <w:p w:rsidR="005D13CE" w:rsidRPr="00716193" w:rsidRDefault="005D13CE" w:rsidP="00AC434E">
      <w:pPr>
        <w:rPr>
          <w:b/>
          <w:lang w:val="en-US"/>
        </w:rPr>
      </w:pPr>
      <w:r w:rsidRPr="00716193">
        <w:rPr>
          <w:b/>
          <w:lang w:val="en-US"/>
        </w:rPr>
        <w:tab/>
      </w:r>
      <w:r w:rsidRPr="00716193">
        <w:rPr>
          <w:b/>
        </w:rPr>
        <w:t>II. Управление на имуществото</w:t>
      </w:r>
    </w:p>
    <w:p w:rsidR="005D13CE" w:rsidRPr="00716193" w:rsidRDefault="005D13CE" w:rsidP="00B45E73">
      <w:pPr>
        <w:pStyle w:val="BodyText3"/>
        <w:spacing w:after="0"/>
        <w:jc w:val="both"/>
        <w:rPr>
          <w:rFonts w:ascii="Times New Roman" w:hAnsi="Times New Roman" w:cs="Times New Roman"/>
          <w:sz w:val="24"/>
          <w:szCs w:val="24"/>
        </w:rPr>
      </w:pPr>
      <w:r w:rsidRPr="00716193">
        <w:rPr>
          <w:rFonts w:ascii="Times New Roman" w:hAnsi="Times New Roman" w:cs="Times New Roman"/>
          <w:b/>
          <w:sz w:val="24"/>
          <w:szCs w:val="24"/>
        </w:rPr>
        <w:tab/>
      </w:r>
      <w:r w:rsidRPr="00716193">
        <w:rPr>
          <w:rFonts w:ascii="Times New Roman" w:hAnsi="Times New Roman" w:cs="Times New Roman"/>
          <w:sz w:val="24"/>
          <w:szCs w:val="24"/>
        </w:rPr>
        <w:t xml:space="preserve">През одитирания период в актива на баланса на </w:t>
      </w:r>
      <w:r w:rsidR="000D7766" w:rsidRPr="00716193">
        <w:rPr>
          <w:rFonts w:ascii="Times New Roman" w:hAnsi="Times New Roman" w:cs="Times New Roman"/>
          <w:sz w:val="24"/>
          <w:szCs w:val="24"/>
        </w:rPr>
        <w:t>„</w:t>
      </w:r>
      <w:r w:rsidRPr="00716193">
        <w:rPr>
          <w:rFonts w:ascii="Times New Roman" w:hAnsi="Times New Roman" w:cs="Times New Roman"/>
          <w:sz w:val="24"/>
          <w:szCs w:val="24"/>
        </w:rPr>
        <w:t>НСБ</w:t>
      </w:r>
      <w:r w:rsidR="000D7766" w:rsidRPr="00716193">
        <w:rPr>
          <w:rFonts w:ascii="Times New Roman" w:hAnsi="Times New Roman" w:cs="Times New Roman"/>
          <w:sz w:val="24"/>
          <w:szCs w:val="24"/>
        </w:rPr>
        <w:t>“</w:t>
      </w:r>
      <w:r w:rsidRPr="00716193">
        <w:rPr>
          <w:rFonts w:ascii="Times New Roman" w:hAnsi="Times New Roman" w:cs="Times New Roman"/>
          <w:sz w:val="24"/>
          <w:szCs w:val="24"/>
        </w:rPr>
        <w:t xml:space="preserve"> ЕАД са заведени</w:t>
      </w:r>
      <w:r w:rsidR="006948C7">
        <w:rPr>
          <w:rFonts w:ascii="Times New Roman" w:hAnsi="Times New Roman" w:cs="Times New Roman"/>
          <w:sz w:val="24"/>
          <w:szCs w:val="24"/>
        </w:rPr>
        <w:t xml:space="preserve"> общо 24</w:t>
      </w:r>
      <w:r w:rsidRPr="00716193">
        <w:rPr>
          <w:rFonts w:ascii="Times New Roman" w:hAnsi="Times New Roman" w:cs="Times New Roman"/>
          <w:sz w:val="24"/>
          <w:szCs w:val="24"/>
        </w:rPr>
        <w:t xml:space="preserve"> </w:t>
      </w:r>
      <w:r w:rsidR="002A5951">
        <w:rPr>
          <w:rFonts w:ascii="Times New Roman" w:hAnsi="Times New Roman" w:cs="Times New Roman"/>
          <w:sz w:val="24"/>
          <w:szCs w:val="24"/>
        </w:rPr>
        <w:t xml:space="preserve">броя </w:t>
      </w:r>
      <w:r w:rsidRPr="00716193">
        <w:rPr>
          <w:rFonts w:ascii="Times New Roman" w:hAnsi="Times New Roman" w:cs="Times New Roman"/>
          <w:sz w:val="24"/>
          <w:szCs w:val="24"/>
        </w:rPr>
        <w:t>собствени дълготрайни материални активи</w:t>
      </w:r>
      <w:r w:rsidR="002A5951" w:rsidRPr="00716193">
        <w:rPr>
          <w:rStyle w:val="FootnoteReference"/>
          <w:rFonts w:ascii="Times New Roman" w:hAnsi="Times New Roman" w:cs="Times New Roman"/>
          <w:sz w:val="24"/>
          <w:szCs w:val="24"/>
        </w:rPr>
        <w:footnoteReference w:id="113"/>
      </w:r>
      <w:r w:rsidRPr="00716193">
        <w:rPr>
          <w:rFonts w:ascii="Times New Roman" w:hAnsi="Times New Roman" w:cs="Times New Roman"/>
          <w:sz w:val="24"/>
          <w:szCs w:val="24"/>
        </w:rPr>
        <w:t xml:space="preserve"> </w:t>
      </w:r>
      <w:r w:rsidR="002A5951">
        <w:rPr>
          <w:rFonts w:ascii="Times New Roman" w:hAnsi="Times New Roman" w:cs="Times New Roman"/>
          <w:sz w:val="24"/>
          <w:szCs w:val="24"/>
        </w:rPr>
        <w:t>(</w:t>
      </w:r>
      <w:r w:rsidR="007F4131" w:rsidRPr="00716193">
        <w:rPr>
          <w:rFonts w:ascii="Times New Roman" w:hAnsi="Times New Roman" w:cs="Times New Roman"/>
          <w:sz w:val="24"/>
          <w:szCs w:val="24"/>
        </w:rPr>
        <w:t>земи, сгради и конструкции, съоръжения</w:t>
      </w:r>
      <w:r w:rsidR="002A5951">
        <w:rPr>
          <w:rFonts w:ascii="Times New Roman" w:hAnsi="Times New Roman" w:cs="Times New Roman"/>
          <w:sz w:val="24"/>
          <w:szCs w:val="24"/>
        </w:rPr>
        <w:t>).</w:t>
      </w:r>
      <w:r w:rsidR="002A5951">
        <w:rPr>
          <w:rStyle w:val="FootnoteReference"/>
          <w:rFonts w:ascii="Times New Roman" w:hAnsi="Times New Roman" w:cs="Times New Roman"/>
          <w:sz w:val="24"/>
          <w:szCs w:val="24"/>
        </w:rPr>
        <w:footnoteReference w:id="114"/>
      </w:r>
      <w:r w:rsidR="006948C7">
        <w:rPr>
          <w:rFonts w:ascii="Times New Roman" w:hAnsi="Times New Roman" w:cs="Times New Roman"/>
          <w:sz w:val="24"/>
          <w:szCs w:val="24"/>
        </w:rPr>
        <w:t xml:space="preserve"> През 2014 г. „</w:t>
      </w:r>
      <w:r w:rsidR="006948C7" w:rsidRPr="006948C7">
        <w:rPr>
          <w:rFonts w:ascii="Times New Roman" w:hAnsi="Times New Roman" w:cs="Times New Roman"/>
          <w:sz w:val="24"/>
          <w:szCs w:val="24"/>
        </w:rPr>
        <w:t xml:space="preserve">Юнашки салон </w:t>
      </w:r>
      <w:r w:rsidR="006948C7">
        <w:rPr>
          <w:rFonts w:ascii="Times New Roman" w:hAnsi="Times New Roman" w:cs="Times New Roman"/>
          <w:sz w:val="24"/>
          <w:szCs w:val="24"/>
        </w:rPr>
        <w:t>–</w:t>
      </w:r>
      <w:r w:rsidR="006948C7" w:rsidRPr="006948C7">
        <w:rPr>
          <w:rFonts w:ascii="Times New Roman" w:hAnsi="Times New Roman" w:cs="Times New Roman"/>
          <w:sz w:val="24"/>
          <w:szCs w:val="24"/>
        </w:rPr>
        <w:t xml:space="preserve"> Варна</w:t>
      </w:r>
      <w:r w:rsidR="006948C7">
        <w:rPr>
          <w:rFonts w:ascii="Times New Roman" w:hAnsi="Times New Roman" w:cs="Times New Roman"/>
          <w:sz w:val="24"/>
          <w:szCs w:val="24"/>
        </w:rPr>
        <w:t>“</w:t>
      </w:r>
      <w:r w:rsidR="006948C7" w:rsidRPr="006948C7">
        <w:rPr>
          <w:rFonts w:ascii="Times New Roman" w:hAnsi="Times New Roman" w:cs="Times New Roman"/>
          <w:sz w:val="24"/>
          <w:szCs w:val="24"/>
        </w:rPr>
        <w:t xml:space="preserve"> е изваден от акционерния капитал на дружеството с Протокол № 28-00-6 от 08.07.2014 г. на министъра на младежта и спорта</w:t>
      </w:r>
      <w:r w:rsidR="006948C7">
        <w:rPr>
          <w:rFonts w:ascii="Times New Roman" w:hAnsi="Times New Roman" w:cs="Times New Roman"/>
          <w:sz w:val="24"/>
          <w:szCs w:val="24"/>
        </w:rPr>
        <w:t>, с което е определено</w:t>
      </w:r>
      <w:r w:rsidR="006948C7" w:rsidRPr="006948C7">
        <w:rPr>
          <w:rFonts w:ascii="Times New Roman" w:hAnsi="Times New Roman" w:cs="Times New Roman"/>
          <w:sz w:val="24"/>
          <w:szCs w:val="24"/>
        </w:rPr>
        <w:t xml:space="preserve"> намаляване капитала на дружеството във връзка с Решение № 314 от 19.05.2014 г. на Министерски съвет</w:t>
      </w:r>
      <w:r w:rsidR="006948C7">
        <w:rPr>
          <w:rFonts w:ascii="Times New Roman" w:hAnsi="Times New Roman" w:cs="Times New Roman"/>
          <w:sz w:val="24"/>
          <w:szCs w:val="24"/>
        </w:rPr>
        <w:t>.</w:t>
      </w:r>
      <w:r w:rsidR="007F4131" w:rsidRPr="00716193">
        <w:rPr>
          <w:rFonts w:ascii="Times New Roman" w:hAnsi="Times New Roman" w:cs="Times New Roman"/>
          <w:sz w:val="24"/>
          <w:szCs w:val="24"/>
        </w:rPr>
        <w:t xml:space="preserve"> </w:t>
      </w:r>
    </w:p>
    <w:p w:rsidR="005D13CE" w:rsidRPr="00716193" w:rsidRDefault="005D13CE" w:rsidP="005D13CE">
      <w:pPr>
        <w:pStyle w:val="BodyText3"/>
        <w:spacing w:after="0"/>
        <w:ind w:firstLine="720"/>
        <w:jc w:val="both"/>
        <w:rPr>
          <w:rFonts w:ascii="Times New Roman" w:hAnsi="Times New Roman" w:cs="Times New Roman"/>
          <w:sz w:val="24"/>
          <w:szCs w:val="24"/>
          <w:highlight w:val="red"/>
        </w:rPr>
      </w:pPr>
      <w:r w:rsidRPr="00716193">
        <w:rPr>
          <w:rFonts w:ascii="Times New Roman" w:hAnsi="Times New Roman" w:cs="Times New Roman"/>
          <w:sz w:val="24"/>
          <w:szCs w:val="24"/>
        </w:rPr>
        <w:t xml:space="preserve">Една от основните дейности на </w:t>
      </w:r>
      <w:r w:rsidR="000D7766" w:rsidRPr="00716193">
        <w:rPr>
          <w:rFonts w:ascii="Times New Roman" w:hAnsi="Times New Roman" w:cs="Times New Roman"/>
          <w:sz w:val="24"/>
          <w:szCs w:val="24"/>
        </w:rPr>
        <w:t>„</w:t>
      </w:r>
      <w:r w:rsidRPr="00716193">
        <w:rPr>
          <w:rFonts w:ascii="Times New Roman" w:hAnsi="Times New Roman" w:cs="Times New Roman"/>
          <w:sz w:val="24"/>
          <w:szCs w:val="24"/>
        </w:rPr>
        <w:t>НСБ</w:t>
      </w:r>
      <w:r w:rsidR="000D7766" w:rsidRPr="00716193">
        <w:rPr>
          <w:rFonts w:ascii="Times New Roman" w:hAnsi="Times New Roman" w:cs="Times New Roman"/>
          <w:sz w:val="24"/>
          <w:szCs w:val="24"/>
        </w:rPr>
        <w:t>“</w:t>
      </w:r>
      <w:r w:rsidRPr="00716193">
        <w:rPr>
          <w:rFonts w:ascii="Times New Roman" w:hAnsi="Times New Roman" w:cs="Times New Roman"/>
          <w:sz w:val="24"/>
          <w:szCs w:val="24"/>
        </w:rPr>
        <w:t xml:space="preserve"> ЕАД е отдаването под наем на прилежащи помещения и площи, част от горепосочените обекти, както и спортни съоръжения, собственост на дружеството.</w:t>
      </w:r>
    </w:p>
    <w:p w:rsidR="005D13CE" w:rsidRPr="00716193" w:rsidRDefault="005D13CE" w:rsidP="005D13CE">
      <w:pPr>
        <w:pStyle w:val="BodyText3"/>
        <w:spacing w:after="0"/>
        <w:ind w:firstLine="720"/>
        <w:jc w:val="both"/>
        <w:rPr>
          <w:rFonts w:ascii="Times New Roman" w:hAnsi="Times New Roman" w:cs="Times New Roman"/>
          <w:sz w:val="24"/>
          <w:szCs w:val="24"/>
        </w:rPr>
      </w:pPr>
      <w:r w:rsidRPr="00716193">
        <w:rPr>
          <w:rFonts w:ascii="Times New Roman" w:hAnsi="Times New Roman" w:cs="Times New Roman"/>
          <w:sz w:val="24"/>
          <w:szCs w:val="24"/>
        </w:rPr>
        <w:t xml:space="preserve">Редът и начинът за отдаването на имуществото под наем на едноличните търговски дружества е уреден в Раздел V „Особени правила при сключване на някои видове договори” на </w:t>
      </w:r>
      <w:r w:rsidR="00C71EBE" w:rsidRPr="00716193">
        <w:rPr>
          <w:rStyle w:val="Strong"/>
          <w:rFonts w:ascii="Times New Roman" w:hAnsi="Times New Roman" w:cs="Times New Roman"/>
          <w:b w:val="0"/>
          <w:sz w:val="24"/>
          <w:szCs w:val="24"/>
        </w:rPr>
        <w:t>ПРУПДТДДУК</w:t>
      </w:r>
      <w:r w:rsidRPr="00716193">
        <w:rPr>
          <w:rFonts w:ascii="Times New Roman" w:hAnsi="Times New Roman" w:cs="Times New Roman"/>
          <w:sz w:val="24"/>
          <w:szCs w:val="24"/>
        </w:rPr>
        <w:t>.</w:t>
      </w:r>
    </w:p>
    <w:p w:rsidR="005D13CE" w:rsidRPr="00716193" w:rsidRDefault="005D13CE" w:rsidP="005D13CE">
      <w:pPr>
        <w:jc w:val="both"/>
      </w:pPr>
      <w:r w:rsidRPr="00716193">
        <w:rPr>
          <w:rStyle w:val="Strong"/>
        </w:rPr>
        <w:tab/>
      </w:r>
      <w:r w:rsidRPr="00716193">
        <w:rPr>
          <w:rStyle w:val="Strong"/>
          <w:b w:val="0"/>
        </w:rPr>
        <w:t>За периода 01.01.2013 г. до 31.12.2014 г., отдаването под наем на имотите на дружеството е извършвано на основание ПРУПДТДДУК,</w:t>
      </w:r>
      <w:r w:rsidRPr="00716193">
        <w:rPr>
          <w:rStyle w:val="Strong"/>
        </w:rPr>
        <w:t xml:space="preserve"> </w:t>
      </w:r>
      <w:r w:rsidR="00AC10B8" w:rsidRPr="00716193">
        <w:rPr>
          <w:rStyle w:val="Strong"/>
          <w:b w:val="0"/>
        </w:rPr>
        <w:t>„</w:t>
      </w:r>
      <w:r w:rsidRPr="00716193">
        <w:t xml:space="preserve">Правила за работа на СД на </w:t>
      </w:r>
      <w:r w:rsidR="000D7766" w:rsidRPr="00716193">
        <w:t>„</w:t>
      </w:r>
      <w:r w:rsidRPr="00716193">
        <w:t>НСБ</w:t>
      </w:r>
      <w:r w:rsidR="000D7766" w:rsidRPr="00716193">
        <w:t>“</w:t>
      </w:r>
      <w:r w:rsidRPr="00716193">
        <w:t xml:space="preserve"> ЕАД</w:t>
      </w:r>
      <w:r w:rsidR="00AC10B8" w:rsidRPr="00716193">
        <w:t>“</w:t>
      </w:r>
      <w:r w:rsidRPr="00716193">
        <w:t xml:space="preserve">, </w:t>
      </w:r>
      <w:r w:rsidR="00AC10B8" w:rsidRPr="00716193">
        <w:t>„</w:t>
      </w:r>
      <w:r w:rsidRPr="00716193">
        <w:rPr>
          <w:bCs/>
        </w:rPr>
        <w:t>Правилник на „Национална спортна база“ ЕАД за условията и реда за отдаване под наем на дълготрайни активи</w:t>
      </w:r>
      <w:r w:rsidR="00AC10B8" w:rsidRPr="00716193">
        <w:rPr>
          <w:bCs/>
        </w:rPr>
        <w:t>“</w:t>
      </w:r>
      <w:r w:rsidRPr="00716193">
        <w:rPr>
          <w:bCs/>
        </w:rPr>
        <w:t>, приет с решение на Съвета на директорите, отразено в Протокол № 135 от 24.02.2006 г. (Правилник)</w:t>
      </w:r>
      <w:r w:rsidR="0003571A" w:rsidRPr="00716193">
        <w:rPr>
          <w:bCs/>
        </w:rPr>
        <w:t>,</w:t>
      </w:r>
      <w:r w:rsidRPr="00716193">
        <w:rPr>
          <w:bCs/>
        </w:rPr>
        <w:t xml:space="preserve"> </w:t>
      </w:r>
      <w:r w:rsidR="00AC10B8" w:rsidRPr="00716193">
        <w:rPr>
          <w:bCs/>
        </w:rPr>
        <w:t>„</w:t>
      </w:r>
      <w:r w:rsidRPr="00716193">
        <w:rPr>
          <w:bCs/>
        </w:rPr>
        <w:t>Система за правилата и реда за отдаване под наем на дълготрайни активи и/или движими вещи, собственост на „Национална спортна база“ ЕАД</w:t>
      </w:r>
      <w:r w:rsidR="00AC10B8" w:rsidRPr="00716193">
        <w:rPr>
          <w:bCs/>
        </w:rPr>
        <w:t>“</w:t>
      </w:r>
      <w:r w:rsidRPr="00716193">
        <w:rPr>
          <w:bCs/>
        </w:rPr>
        <w:t xml:space="preserve"> </w:t>
      </w:r>
      <w:r w:rsidRPr="00716193">
        <w:t>(Система)</w:t>
      </w:r>
      <w:r w:rsidR="00A17CB4" w:rsidRPr="00716193">
        <w:rPr>
          <w:rStyle w:val="FootnoteReference"/>
        </w:rPr>
        <w:footnoteReference w:id="115"/>
      </w:r>
      <w:r w:rsidRPr="00716193">
        <w:rPr>
          <w:bCs/>
        </w:rPr>
        <w:t xml:space="preserve">, и </w:t>
      </w:r>
      <w:r w:rsidR="00AC10B8" w:rsidRPr="00716193">
        <w:rPr>
          <w:bCs/>
        </w:rPr>
        <w:t>„</w:t>
      </w:r>
      <w:r w:rsidRPr="00716193">
        <w:rPr>
          <w:bCs/>
        </w:rPr>
        <w:t>В</w:t>
      </w:r>
      <w:r w:rsidRPr="00716193">
        <w:t>ътрешни правила за организация на работната заплата в „Национална спортна база“ ЕАД</w:t>
      </w:r>
      <w:r w:rsidR="00AC10B8" w:rsidRPr="00716193">
        <w:t>“</w:t>
      </w:r>
      <w:r w:rsidR="00A17CB4" w:rsidRPr="00716193">
        <w:rPr>
          <w:rStyle w:val="FootnoteReference"/>
        </w:rPr>
        <w:footnoteReference w:id="116"/>
      </w:r>
      <w:r w:rsidR="00771399">
        <w:t xml:space="preserve"> </w:t>
      </w:r>
      <w:r w:rsidRPr="00716193">
        <w:t>(Правила).</w:t>
      </w:r>
      <w:r w:rsidR="0003571A" w:rsidRPr="00716193">
        <w:rPr>
          <w:rStyle w:val="FootnoteReference"/>
        </w:rPr>
        <w:t xml:space="preserve"> </w:t>
      </w:r>
      <w:r w:rsidR="0003571A" w:rsidRPr="00716193">
        <w:rPr>
          <w:rStyle w:val="FootnoteReference"/>
        </w:rPr>
        <w:footnoteReference w:id="117"/>
      </w:r>
    </w:p>
    <w:p w:rsidR="005D13CE" w:rsidRPr="00716193" w:rsidRDefault="005D13CE" w:rsidP="005D13CE">
      <w:pPr>
        <w:ind w:firstLine="720"/>
        <w:jc w:val="both"/>
      </w:pPr>
      <w:r w:rsidRPr="00716193">
        <w:rPr>
          <w:rStyle w:val="Strong"/>
          <w:b w:val="0"/>
        </w:rPr>
        <w:lastRenderedPageBreak/>
        <w:t xml:space="preserve">ПРУПДТДДУК регламентира сключването на договори за наем на ДМА на еднолични търговски дружества с държавно участие в капитала да се извършва след провеждане на търг или конкурс по </w:t>
      </w:r>
      <w:r w:rsidR="00893B7F" w:rsidRPr="00716193">
        <w:rPr>
          <w:rStyle w:val="Strong"/>
          <w:b w:val="0"/>
        </w:rPr>
        <w:t xml:space="preserve">определен </w:t>
      </w:r>
      <w:r w:rsidRPr="00716193">
        <w:rPr>
          <w:rStyle w:val="Strong"/>
          <w:b w:val="0"/>
        </w:rPr>
        <w:t>ред; чрез пряко договаряне, при условията на чл. 17, ал. 2 и ал. 3, и въз основа на заповед за настаняване - при п</w:t>
      </w:r>
      <w:r w:rsidRPr="00716193">
        <w:t>редоставяне под наем жилища на служители или работници по реда на чл. 18.</w:t>
      </w:r>
    </w:p>
    <w:p w:rsidR="005D13CE" w:rsidRPr="00716193" w:rsidRDefault="005D13CE" w:rsidP="005D13CE">
      <w:pPr>
        <w:pStyle w:val="BodyText3"/>
        <w:spacing w:after="0"/>
        <w:ind w:firstLine="709"/>
        <w:jc w:val="both"/>
        <w:rPr>
          <w:rFonts w:ascii="Times New Roman" w:hAnsi="Times New Roman" w:cs="Times New Roman"/>
          <w:sz w:val="24"/>
          <w:szCs w:val="24"/>
        </w:rPr>
      </w:pPr>
      <w:r w:rsidRPr="00716193">
        <w:rPr>
          <w:rFonts w:ascii="Times New Roman" w:hAnsi="Times New Roman" w:cs="Times New Roman"/>
          <w:sz w:val="24"/>
          <w:szCs w:val="24"/>
        </w:rPr>
        <w:t xml:space="preserve">Горецитираните вътрешни актове припокриват и в известна степен доразвиват регламентираното в </w:t>
      </w:r>
      <w:r w:rsidRPr="00716193">
        <w:rPr>
          <w:rStyle w:val="Strong"/>
          <w:rFonts w:ascii="Times New Roman" w:hAnsi="Times New Roman" w:cs="Times New Roman"/>
          <w:b w:val="0"/>
          <w:sz w:val="24"/>
          <w:szCs w:val="24"/>
        </w:rPr>
        <w:t>ПРУПДТДДУК</w:t>
      </w:r>
      <w:r w:rsidR="00680162" w:rsidRPr="00716193">
        <w:rPr>
          <w:rFonts w:ascii="Times New Roman" w:hAnsi="Times New Roman" w:cs="Times New Roman"/>
          <w:b/>
          <w:sz w:val="24"/>
          <w:szCs w:val="24"/>
        </w:rPr>
        <w:t xml:space="preserve"> </w:t>
      </w:r>
      <w:r w:rsidRPr="00716193">
        <w:rPr>
          <w:rFonts w:ascii="Times New Roman" w:hAnsi="Times New Roman" w:cs="Times New Roman"/>
          <w:sz w:val="24"/>
          <w:szCs w:val="24"/>
        </w:rPr>
        <w:t xml:space="preserve">относно отдаването под наем на активи на дружеството. </w:t>
      </w:r>
    </w:p>
    <w:p w:rsidR="005D13CE" w:rsidRPr="00716193" w:rsidRDefault="005D13CE" w:rsidP="005D13CE">
      <w:pPr>
        <w:pStyle w:val="BodyText3"/>
        <w:spacing w:after="0"/>
        <w:ind w:firstLine="720"/>
        <w:jc w:val="both"/>
        <w:rPr>
          <w:rFonts w:ascii="Times New Roman" w:hAnsi="Times New Roman" w:cs="Times New Roman"/>
          <w:sz w:val="24"/>
          <w:szCs w:val="24"/>
        </w:rPr>
      </w:pPr>
      <w:r w:rsidRPr="00716193">
        <w:rPr>
          <w:rFonts w:ascii="Times New Roman" w:hAnsi="Times New Roman" w:cs="Times New Roman"/>
          <w:sz w:val="24"/>
          <w:szCs w:val="24"/>
        </w:rPr>
        <w:t>По информация на дружеството, през периода от 01.01.2013 г. до 31.12.2013 г. са сключени 56  договор</w:t>
      </w:r>
      <w:r w:rsidR="00622699" w:rsidRPr="00716193">
        <w:rPr>
          <w:rFonts w:ascii="Times New Roman" w:hAnsi="Times New Roman" w:cs="Times New Roman"/>
          <w:sz w:val="24"/>
          <w:szCs w:val="24"/>
        </w:rPr>
        <w:t>а</w:t>
      </w:r>
      <w:r w:rsidRPr="00716193">
        <w:rPr>
          <w:rFonts w:ascii="Times New Roman" w:hAnsi="Times New Roman" w:cs="Times New Roman"/>
          <w:sz w:val="24"/>
          <w:szCs w:val="24"/>
        </w:rPr>
        <w:t xml:space="preserve"> за отдаване под наем на дълготрайни активи от „Национална спортна база“ ЕАД, а през периода от 01.01.2014 г. до 31.12.2014 г. са сключени </w:t>
      </w:r>
      <w:r w:rsidR="00A607C7" w:rsidRPr="00716193">
        <w:rPr>
          <w:rFonts w:ascii="Times New Roman" w:hAnsi="Times New Roman" w:cs="Times New Roman"/>
          <w:sz w:val="24"/>
          <w:szCs w:val="24"/>
        </w:rPr>
        <w:br/>
      </w:r>
      <w:r w:rsidRPr="00716193">
        <w:rPr>
          <w:rFonts w:ascii="Times New Roman" w:hAnsi="Times New Roman" w:cs="Times New Roman"/>
          <w:sz w:val="24"/>
          <w:szCs w:val="24"/>
        </w:rPr>
        <w:t>70  договор</w:t>
      </w:r>
      <w:r w:rsidR="007B3FAC" w:rsidRPr="00716193">
        <w:rPr>
          <w:rFonts w:ascii="Times New Roman" w:hAnsi="Times New Roman" w:cs="Times New Roman"/>
          <w:sz w:val="24"/>
          <w:szCs w:val="24"/>
        </w:rPr>
        <w:t>а</w:t>
      </w:r>
      <w:r w:rsidRPr="00716193">
        <w:rPr>
          <w:rFonts w:ascii="Times New Roman" w:hAnsi="Times New Roman" w:cs="Times New Roman"/>
          <w:sz w:val="24"/>
          <w:szCs w:val="24"/>
        </w:rPr>
        <w:t xml:space="preserve"> за отдаване под наем на дълготрайни активи от „Национална спортна база“ ЕАД, или общо 126 договора.</w:t>
      </w:r>
      <w:r w:rsidRPr="00716193">
        <w:rPr>
          <w:rStyle w:val="FootnoteReference"/>
          <w:rFonts w:ascii="Times New Roman" w:hAnsi="Times New Roman" w:cs="Times New Roman"/>
          <w:sz w:val="24"/>
          <w:szCs w:val="24"/>
        </w:rPr>
        <w:footnoteReference w:id="118"/>
      </w:r>
    </w:p>
    <w:p w:rsidR="005D13CE" w:rsidRPr="00716193" w:rsidRDefault="005D13CE" w:rsidP="005D13CE">
      <w:pPr>
        <w:tabs>
          <w:tab w:val="left" w:pos="-720"/>
        </w:tabs>
        <w:suppressAutoHyphens/>
        <w:jc w:val="both"/>
      </w:pPr>
      <w:r w:rsidRPr="00716193">
        <w:tab/>
      </w:r>
      <w:r w:rsidR="00893B7F" w:rsidRPr="00716193">
        <w:t>И</w:t>
      </w:r>
      <w:r w:rsidRPr="00716193">
        <w:t>звърш</w:t>
      </w:r>
      <w:r w:rsidR="00893B7F" w:rsidRPr="00716193">
        <w:t>ена е</w:t>
      </w:r>
      <w:r w:rsidRPr="00716193">
        <w:t xml:space="preserve"> проверка за съответствие на </w:t>
      </w:r>
      <w:r w:rsidRPr="00716193">
        <w:rPr>
          <w:lang w:eastAsia="en-US"/>
        </w:rPr>
        <w:t xml:space="preserve">управленските решения и дейности с правната рамка относно </w:t>
      </w:r>
      <w:r w:rsidRPr="00716193">
        <w:t xml:space="preserve">отдаването под наем на активи и </w:t>
      </w:r>
      <w:r w:rsidRPr="00716193">
        <w:rPr>
          <w:lang w:eastAsia="en-US"/>
        </w:rPr>
        <w:t>отчитането и контрола на п</w:t>
      </w:r>
      <w:r w:rsidRPr="00716193">
        <w:t>риходите от наем</w:t>
      </w:r>
      <w:r w:rsidRPr="00716193">
        <w:rPr>
          <w:lang w:eastAsia="en-US"/>
        </w:rPr>
        <w:t xml:space="preserve"> чрез </w:t>
      </w:r>
      <w:r w:rsidRPr="00716193">
        <w:t>одитни процедури върху одитна извадка</w:t>
      </w:r>
      <w:r w:rsidR="00893B7F" w:rsidRPr="00716193">
        <w:t>.</w:t>
      </w:r>
      <w:r w:rsidR="00BA6533" w:rsidRPr="00716193">
        <w:t xml:space="preserve"> </w:t>
      </w:r>
      <w:r w:rsidRPr="00716193">
        <w:t>Популацията, от която се формира извадката</w:t>
      </w:r>
      <w:r w:rsidR="008A6BDE" w:rsidRPr="00716193">
        <w:t>,</w:t>
      </w:r>
      <w:r w:rsidRPr="00716193">
        <w:t xml:space="preserve"> е ограничена чрез изключване на договорите (7 бр.), които са проверени от </w:t>
      </w:r>
      <w:r w:rsidR="00B55D2D" w:rsidRPr="00716193">
        <w:t>Звеното за вътрешен одит към ММС</w:t>
      </w:r>
      <w:r w:rsidRPr="00716193">
        <w:t xml:space="preserve"> (през </w:t>
      </w:r>
      <w:r w:rsidR="00893B7F" w:rsidRPr="00716193">
        <w:t>одитирания период</w:t>
      </w:r>
      <w:r w:rsidRPr="00716193">
        <w:t>), както следва: 3 бр. за</w:t>
      </w:r>
      <w:r w:rsidR="00893B7F" w:rsidRPr="00716193">
        <w:t xml:space="preserve"> </w:t>
      </w:r>
      <w:r w:rsidRPr="00716193">
        <w:t xml:space="preserve">2013 г. и 4 бр. за 2014 г. От оставащите общо 119 договора за отдаване под наем на активи, собственост на </w:t>
      </w:r>
      <w:r w:rsidR="000D7766" w:rsidRPr="00716193">
        <w:t>„</w:t>
      </w:r>
      <w:r w:rsidRPr="00716193">
        <w:t>НСБ</w:t>
      </w:r>
      <w:r w:rsidR="000D7766" w:rsidRPr="00716193">
        <w:t>“</w:t>
      </w:r>
      <w:r w:rsidRPr="00716193">
        <w:t xml:space="preserve"> ЕАД (53 сключени договор</w:t>
      </w:r>
      <w:r w:rsidR="004C22DA" w:rsidRPr="00716193">
        <w:t>а</w:t>
      </w:r>
      <w:r w:rsidRPr="00716193">
        <w:t xml:space="preserve"> през 2013 г.</w:t>
      </w:r>
      <w:r w:rsidRPr="00716193">
        <w:rPr>
          <w:rStyle w:val="FootnoteReference"/>
        </w:rPr>
        <w:t xml:space="preserve"> </w:t>
      </w:r>
      <w:r w:rsidR="00B55D2D" w:rsidRPr="00716193">
        <w:t xml:space="preserve">и 66 броя през 2014 г.), </w:t>
      </w:r>
      <w:r w:rsidRPr="00716193">
        <w:t>е формира</w:t>
      </w:r>
      <w:r w:rsidR="00B55D2D" w:rsidRPr="00716193">
        <w:t>на</w:t>
      </w:r>
      <w:r w:rsidRPr="00716193">
        <w:t xml:space="preserve"> </w:t>
      </w:r>
      <w:r w:rsidR="00B55D2D" w:rsidRPr="00716193">
        <w:t>една и съща извадка за тестове на контрола и тестове</w:t>
      </w:r>
      <w:r w:rsidRPr="00716193">
        <w:t xml:space="preserve"> по същество. Използваният способ за избор на единиците, включени в извадката, е рисков подбор. Проверени са 22 договор</w:t>
      </w:r>
      <w:r w:rsidR="00622699" w:rsidRPr="00716193">
        <w:t>а</w:t>
      </w:r>
      <w:r w:rsidRPr="00716193">
        <w:t xml:space="preserve"> за отдаване под наем на активи, собственост на дружеството, сключени през 2013 г., и </w:t>
      </w:r>
      <w:r w:rsidR="00C71EBE" w:rsidRPr="00716193">
        <w:t>2</w:t>
      </w:r>
      <w:r w:rsidR="00622699" w:rsidRPr="00716193">
        <w:t>3</w:t>
      </w:r>
      <w:r w:rsidR="00C71EBE" w:rsidRPr="00716193">
        <w:t xml:space="preserve"> </w:t>
      </w:r>
      <w:r w:rsidRPr="00716193">
        <w:t>договор</w:t>
      </w:r>
      <w:r w:rsidR="00622699" w:rsidRPr="00716193">
        <w:t>а</w:t>
      </w:r>
      <w:r w:rsidRPr="00716193">
        <w:t>, сключени през 2014 г.</w:t>
      </w:r>
    </w:p>
    <w:p w:rsidR="00946223" w:rsidRPr="00716193" w:rsidRDefault="005D13CE" w:rsidP="005D13CE">
      <w:pPr>
        <w:tabs>
          <w:tab w:val="left" w:pos="-720"/>
        </w:tabs>
        <w:suppressAutoHyphens/>
        <w:jc w:val="both"/>
      </w:pPr>
      <w:r w:rsidRPr="00716193">
        <w:tab/>
      </w:r>
    </w:p>
    <w:p w:rsidR="005D13CE" w:rsidRPr="00716193" w:rsidRDefault="00946223" w:rsidP="005D13CE">
      <w:pPr>
        <w:tabs>
          <w:tab w:val="left" w:pos="-720"/>
        </w:tabs>
        <w:suppressAutoHyphens/>
        <w:jc w:val="both"/>
        <w:rPr>
          <w:b/>
        </w:rPr>
      </w:pPr>
      <w:r w:rsidRPr="00716193">
        <w:tab/>
      </w:r>
      <w:r w:rsidR="005D13CE" w:rsidRPr="00716193">
        <w:rPr>
          <w:b/>
        </w:rPr>
        <w:t>1. Планиране и провеждане на процедури за отдаване под наем, сключване на договори и контрол</w:t>
      </w:r>
    </w:p>
    <w:p w:rsidR="005D13CE" w:rsidRPr="00716193" w:rsidRDefault="005D13CE" w:rsidP="005D13CE">
      <w:pPr>
        <w:tabs>
          <w:tab w:val="left" w:pos="-720"/>
        </w:tabs>
        <w:suppressAutoHyphens/>
        <w:jc w:val="both"/>
        <w:rPr>
          <w:rStyle w:val="Strong"/>
          <w:b w:val="0"/>
          <w:bCs w:val="0"/>
        </w:rPr>
      </w:pPr>
      <w:r w:rsidRPr="00716193">
        <w:tab/>
        <w:t xml:space="preserve">От общо проверените 45 досиета на сключени през одитирания период договори за отдаване под наем на ДМА, 26 (16 през 2013 г. и 10 през 2014 г.) са сключени след провеждане на търг с тайно наддаване, 6 (4 през 2013 г. и 2 през 2014 г.) са сключени чрез пряко договаряне по реда на чл. 17, ал. 2 и ал. 3 от </w:t>
      </w:r>
      <w:r w:rsidRPr="00716193">
        <w:rPr>
          <w:rStyle w:val="Strong"/>
          <w:b w:val="0"/>
        </w:rPr>
        <w:t xml:space="preserve">ПРУПДТДДУК, 5 </w:t>
      </w:r>
      <w:r w:rsidRPr="00716193">
        <w:t>(2 през 2013</w:t>
      </w:r>
      <w:r w:rsidRPr="00716193">
        <w:rPr>
          <w:b/>
        </w:rPr>
        <w:t xml:space="preserve"> </w:t>
      </w:r>
      <w:r w:rsidRPr="00716193">
        <w:t>г. и 3 през 2014 г.)</w:t>
      </w:r>
      <w:r w:rsidRPr="00716193">
        <w:rPr>
          <w:b/>
        </w:rPr>
        <w:t xml:space="preserve"> </w:t>
      </w:r>
      <w:r w:rsidRPr="00716193">
        <w:rPr>
          <w:rStyle w:val="Strong"/>
          <w:b w:val="0"/>
        </w:rPr>
        <w:t>са сключени със служители за предоставяне под наем на жилища, собственост на дружеството, а 8 от проверените договор</w:t>
      </w:r>
      <w:r w:rsidR="008A6BDE" w:rsidRPr="00716193">
        <w:rPr>
          <w:rStyle w:val="Strong"/>
          <w:b w:val="0"/>
        </w:rPr>
        <w:t>и</w:t>
      </w:r>
      <w:r w:rsidRPr="00716193">
        <w:rPr>
          <w:rStyle w:val="Strong"/>
          <w:b w:val="0"/>
        </w:rPr>
        <w:t xml:space="preserve"> са сключени без спазване на </w:t>
      </w:r>
      <w:r w:rsidR="00B55D2D" w:rsidRPr="00716193">
        <w:rPr>
          <w:rStyle w:val="Strong"/>
          <w:b w:val="0"/>
        </w:rPr>
        <w:t xml:space="preserve">приложимия </w:t>
      </w:r>
      <w:r w:rsidRPr="00716193">
        <w:rPr>
          <w:rStyle w:val="Strong"/>
          <w:b w:val="0"/>
        </w:rPr>
        <w:t>ред</w:t>
      </w:r>
      <w:r w:rsidR="00B55D2D" w:rsidRPr="00716193">
        <w:rPr>
          <w:rStyle w:val="Strong"/>
          <w:b w:val="0"/>
        </w:rPr>
        <w:t xml:space="preserve"> за отдаване под наем </w:t>
      </w:r>
      <w:r w:rsidRPr="00716193">
        <w:rPr>
          <w:rStyle w:val="Strong"/>
          <w:b w:val="0"/>
        </w:rPr>
        <w:t>на ПРУПДТДДУК.</w:t>
      </w:r>
    </w:p>
    <w:p w:rsidR="005D13CE" w:rsidRPr="00716193" w:rsidRDefault="005D13CE" w:rsidP="005D13CE">
      <w:pPr>
        <w:pStyle w:val="NoSpacing"/>
        <w:jc w:val="both"/>
      </w:pPr>
      <w:r w:rsidRPr="00716193">
        <w:tab/>
        <w:t xml:space="preserve">От 01.01.2013 г. до 20.08.2013 г. </w:t>
      </w:r>
      <w:r w:rsidR="00F741E3" w:rsidRPr="00716193">
        <w:t xml:space="preserve">в </w:t>
      </w:r>
      <w:r w:rsidR="000D7766" w:rsidRPr="00716193">
        <w:t>„</w:t>
      </w:r>
      <w:r w:rsidRPr="00716193">
        <w:t>НСБ</w:t>
      </w:r>
      <w:r w:rsidR="000D7766" w:rsidRPr="00716193">
        <w:t>“</w:t>
      </w:r>
      <w:r w:rsidRPr="00716193">
        <w:t xml:space="preserve"> ЕАД няма утвърден вътрешен акт</w:t>
      </w:r>
      <w:r w:rsidR="00B55D2D" w:rsidRPr="00716193">
        <w:t>/документ</w:t>
      </w:r>
      <w:r w:rsidRPr="00716193">
        <w:t>, който да определя извършването на контрол на процедурите за отдаване под наем на активи на дружеството.</w:t>
      </w:r>
    </w:p>
    <w:p w:rsidR="005D13CE" w:rsidRPr="00716193" w:rsidRDefault="005D13CE" w:rsidP="005D13CE">
      <w:pPr>
        <w:pStyle w:val="NoSpacing"/>
        <w:jc w:val="both"/>
      </w:pPr>
      <w:r w:rsidRPr="00716193">
        <w:tab/>
        <w:t xml:space="preserve">С утвърждаването на </w:t>
      </w:r>
      <w:r w:rsidR="00AC10B8" w:rsidRPr="00716193">
        <w:t>„</w:t>
      </w:r>
      <w:r w:rsidRPr="00716193">
        <w:rPr>
          <w:bCs/>
        </w:rPr>
        <w:t>Системата за правилата и реда за отдаване под наем на дълготрайни активи и/или движими вещи, собственост на „Национална спортна база“ ЕАД</w:t>
      </w:r>
      <w:r w:rsidR="00AC10B8" w:rsidRPr="00716193">
        <w:rPr>
          <w:bCs/>
        </w:rPr>
        <w:t>“</w:t>
      </w:r>
      <w:r w:rsidRPr="00716193">
        <w:rPr>
          <w:bCs/>
        </w:rPr>
        <w:t xml:space="preserve">, в сила от 20.08.2013 г., е регламентирано извършването на </w:t>
      </w:r>
      <w:r w:rsidRPr="00716193">
        <w:t xml:space="preserve">предварителен, текущ и последващ </w:t>
      </w:r>
      <w:r w:rsidRPr="00716193">
        <w:rPr>
          <w:bCs/>
        </w:rPr>
        <w:t xml:space="preserve">контрол на процедурите за </w:t>
      </w:r>
      <w:r w:rsidRPr="00716193">
        <w:t>отдаване под наем на активи на дружеството.</w:t>
      </w:r>
    </w:p>
    <w:p w:rsidR="005D13CE" w:rsidRPr="00716193" w:rsidRDefault="005D13CE" w:rsidP="005D13CE">
      <w:pPr>
        <w:pStyle w:val="NoSpacing"/>
        <w:jc w:val="both"/>
      </w:pPr>
      <w:r w:rsidRPr="00716193">
        <w:tab/>
        <w:t>Съгласно чл. 5, ал. 3 от Работна инструкция (РИ) 01-01-03 от Системата, е предвидено в срок до 01.11. на текущата година експерт „Управление на собствеността“ към отдел „Управление на спортни имоти“ и от експерт “Наемно договорни отношения“ към дирекция „Административни дейности“</w:t>
      </w:r>
      <w:r w:rsidR="00AC10B8" w:rsidRPr="00716193">
        <w:t xml:space="preserve"> </w:t>
      </w:r>
      <w:r w:rsidR="00AC10B8" w:rsidRPr="00716193">
        <w:rPr>
          <w:lang w:val="en-US"/>
        </w:rPr>
        <w:t>(</w:t>
      </w:r>
      <w:r w:rsidR="00AC10B8" w:rsidRPr="00716193">
        <w:t>„ДАД“</w:t>
      </w:r>
      <w:r w:rsidR="00AC10B8" w:rsidRPr="00716193">
        <w:rPr>
          <w:lang w:val="en-US"/>
        </w:rPr>
        <w:t>)</w:t>
      </w:r>
      <w:r w:rsidRPr="00716193">
        <w:t xml:space="preserve"> да представят на изпълнителния директор годишен анализ на възможностите за отдаване на активи на </w:t>
      </w:r>
      <w:r w:rsidR="000D7766" w:rsidRPr="00716193">
        <w:t>„</w:t>
      </w:r>
      <w:r w:rsidRPr="00716193">
        <w:t>НСБ</w:t>
      </w:r>
      <w:r w:rsidR="000D7766" w:rsidRPr="00716193">
        <w:t>“</w:t>
      </w:r>
      <w:r w:rsidRPr="00716193">
        <w:t xml:space="preserve"> ЕАД под наем, направен въз основа на наличните активи, годни за отдаване под наем, </w:t>
      </w:r>
      <w:r w:rsidR="00C71EBE" w:rsidRPr="00716193">
        <w:t>възрастов</w:t>
      </w:r>
      <w:r w:rsidRPr="00716193">
        <w:t xml:space="preserve"> анализ и анализ на изпълнението </w:t>
      </w:r>
      <w:r w:rsidRPr="00716193">
        <w:lastRenderedPageBreak/>
        <w:t xml:space="preserve">на вече сключените договори за наем на активи на </w:t>
      </w:r>
      <w:r w:rsidR="000D7766" w:rsidRPr="00716193">
        <w:t>„</w:t>
      </w:r>
      <w:r w:rsidRPr="00716193">
        <w:t>НСБ</w:t>
      </w:r>
      <w:r w:rsidR="000D7766" w:rsidRPr="00716193">
        <w:t>“</w:t>
      </w:r>
      <w:r w:rsidRPr="00716193">
        <w:t xml:space="preserve"> ЕАД и цялостната наемна политика на дружеството. </w:t>
      </w:r>
    </w:p>
    <w:p w:rsidR="005D13CE" w:rsidRPr="00716193" w:rsidRDefault="005D13CE" w:rsidP="005D13CE">
      <w:pPr>
        <w:pStyle w:val="NoSpacing"/>
        <w:jc w:val="both"/>
      </w:pPr>
      <w:r w:rsidRPr="00716193">
        <w:tab/>
        <w:t>Установ</w:t>
      </w:r>
      <w:r w:rsidR="006B4725" w:rsidRPr="00716193">
        <w:t>ено</w:t>
      </w:r>
      <w:r w:rsidRPr="00716193">
        <w:t xml:space="preserve"> е, че след утвърждаването на Системата до края на одитирания период, ежегоден анализ на възможностите за отдаване на активи на </w:t>
      </w:r>
      <w:r w:rsidR="000D7766" w:rsidRPr="00716193">
        <w:t>„</w:t>
      </w:r>
      <w:r w:rsidRPr="00716193">
        <w:t>НСБ</w:t>
      </w:r>
      <w:r w:rsidR="000D7766" w:rsidRPr="00716193">
        <w:t>“</w:t>
      </w:r>
      <w:r w:rsidRPr="00716193">
        <w:t xml:space="preserve"> ЕАД под наем, не е </w:t>
      </w:r>
      <w:r w:rsidR="00FB2334" w:rsidRPr="00716193">
        <w:t>извършван</w:t>
      </w:r>
      <w:r w:rsidRPr="00716193">
        <w:t xml:space="preserve">, в несъответствие с горепосоченото изискване. В </w:t>
      </w:r>
      <w:r w:rsidR="000D7766" w:rsidRPr="00716193">
        <w:t>„</w:t>
      </w:r>
      <w:r w:rsidRPr="00716193">
        <w:t>НСБ</w:t>
      </w:r>
      <w:r w:rsidR="000D7766" w:rsidRPr="00716193">
        <w:t>“</w:t>
      </w:r>
      <w:r w:rsidRPr="00716193">
        <w:t xml:space="preserve"> ЕАД няма назначен експерт “Наемно договорни отношения“ към </w:t>
      </w:r>
      <w:r w:rsidR="00AC10B8" w:rsidRPr="00716193">
        <w:t>„ДАД“</w:t>
      </w:r>
      <w:r w:rsidRPr="00716193">
        <w:t xml:space="preserve"> </w:t>
      </w:r>
      <w:r w:rsidR="008B2F77" w:rsidRPr="00716193">
        <w:t>от</w:t>
      </w:r>
      <w:r w:rsidRPr="00716193">
        <w:t xml:space="preserve"> 0</w:t>
      </w:r>
      <w:r w:rsidR="008B2F77" w:rsidRPr="00716193">
        <w:t>6</w:t>
      </w:r>
      <w:r w:rsidRPr="00716193">
        <w:t xml:space="preserve">.08.2013 г. до края на одитирания период - 31.12.2014 г., което </w:t>
      </w:r>
      <w:r w:rsidR="006B4725" w:rsidRPr="00716193">
        <w:t xml:space="preserve">е предпоставка </w:t>
      </w:r>
      <w:r w:rsidRPr="00716193">
        <w:t xml:space="preserve">в известна степен </w:t>
      </w:r>
      <w:r w:rsidR="006B4725" w:rsidRPr="00716193">
        <w:t xml:space="preserve">за </w:t>
      </w:r>
      <w:r w:rsidRPr="00716193">
        <w:t>не</w:t>
      </w:r>
      <w:r w:rsidR="0028796D" w:rsidRPr="00716193">
        <w:t xml:space="preserve">спзване на  изискването за </w:t>
      </w:r>
      <w:r w:rsidRPr="00716193">
        <w:t>представянето на такъв анализ.</w:t>
      </w:r>
      <w:r w:rsidRPr="00716193">
        <w:rPr>
          <w:rStyle w:val="FootnoteReference"/>
        </w:rPr>
        <w:footnoteReference w:id="119"/>
      </w:r>
    </w:p>
    <w:p w:rsidR="005D13CE" w:rsidRPr="00716193" w:rsidRDefault="005D13CE" w:rsidP="005D13CE">
      <w:pPr>
        <w:pStyle w:val="NoSpacing"/>
        <w:jc w:val="both"/>
      </w:pPr>
      <w:r w:rsidRPr="00716193">
        <w:tab/>
        <w:t xml:space="preserve">В чл. 6 от РИ 01-01-03 на Системата е регламентирано разпределенията на задълженията на длъжностните лица на </w:t>
      </w:r>
      <w:r w:rsidR="000D7766" w:rsidRPr="00716193">
        <w:t>„</w:t>
      </w:r>
      <w:r w:rsidRPr="00716193">
        <w:t>НСБ</w:t>
      </w:r>
      <w:r w:rsidR="000D7766" w:rsidRPr="00716193">
        <w:t>“</w:t>
      </w:r>
      <w:r w:rsidRPr="00716193">
        <w:t xml:space="preserve"> ЕАД, ангажирани с процедурите по отдаване под наем на активи на дружеството, да се извърш</w:t>
      </w:r>
      <w:r w:rsidR="00A3590F" w:rsidRPr="00716193">
        <w:t>ва</w:t>
      </w:r>
      <w:r w:rsidRPr="00716193">
        <w:t xml:space="preserve"> съгласно длъжностните характеристики на служителите в отдел „Управление на спортни имоти“, Правен отдел, дирекция „Инвестиционна политика“, </w:t>
      </w:r>
      <w:r w:rsidR="00AC10B8" w:rsidRPr="00716193">
        <w:t>„ДАД“</w:t>
      </w:r>
      <w:r w:rsidRPr="00716193">
        <w:t xml:space="preserve"> и дирекция „Финансово стопанска дейност“. Установ</w:t>
      </w:r>
      <w:r w:rsidR="00A3590F" w:rsidRPr="00716193">
        <w:t>ено</w:t>
      </w:r>
      <w:r w:rsidRPr="00716193">
        <w:t xml:space="preserve"> е, че в длъжностните характеристики на посочените служители</w:t>
      </w:r>
      <w:r w:rsidR="00D42AB7" w:rsidRPr="00716193">
        <w:t>, с изключение  на длъжността „експерт/наемно-договорни отношения/“ в „ДАД“,</w:t>
      </w:r>
      <w:r w:rsidRPr="00716193">
        <w:t xml:space="preserve"> не са вменени конкретни задължения относими към определените в РИ 01-01-03 на Системата.</w:t>
      </w:r>
      <w:r w:rsidRPr="00716193">
        <w:rPr>
          <w:rStyle w:val="FootnoteReference"/>
        </w:rPr>
        <w:footnoteReference w:id="120"/>
      </w:r>
      <w:r w:rsidRPr="00716193">
        <w:t xml:space="preserve"> </w:t>
      </w:r>
    </w:p>
    <w:p w:rsidR="005D13CE" w:rsidRPr="00716193" w:rsidRDefault="005D13CE" w:rsidP="005D13CE">
      <w:pPr>
        <w:pStyle w:val="BodyText3"/>
        <w:spacing w:after="0"/>
        <w:jc w:val="both"/>
        <w:rPr>
          <w:rFonts w:ascii="Times New Roman" w:hAnsi="Times New Roman" w:cs="Times New Roman"/>
          <w:sz w:val="24"/>
          <w:szCs w:val="24"/>
        </w:rPr>
      </w:pPr>
      <w:r w:rsidRPr="00716193">
        <w:rPr>
          <w:rFonts w:ascii="Times New Roman" w:hAnsi="Times New Roman" w:cs="Times New Roman"/>
          <w:sz w:val="24"/>
          <w:szCs w:val="24"/>
        </w:rPr>
        <w:tab/>
        <w:t xml:space="preserve">Не е упражняван и предварителен контрол по процедурите за отдаване под наем на активи на </w:t>
      </w:r>
      <w:r w:rsidR="000D7766" w:rsidRPr="00716193">
        <w:rPr>
          <w:rFonts w:ascii="Times New Roman" w:hAnsi="Times New Roman" w:cs="Times New Roman"/>
          <w:sz w:val="24"/>
          <w:szCs w:val="24"/>
        </w:rPr>
        <w:t>„</w:t>
      </w:r>
      <w:r w:rsidRPr="00716193">
        <w:rPr>
          <w:rFonts w:ascii="Times New Roman" w:hAnsi="Times New Roman" w:cs="Times New Roman"/>
          <w:sz w:val="24"/>
          <w:szCs w:val="24"/>
        </w:rPr>
        <w:t>НСБ</w:t>
      </w:r>
      <w:r w:rsidR="000D7766" w:rsidRPr="00716193">
        <w:rPr>
          <w:rFonts w:ascii="Times New Roman" w:hAnsi="Times New Roman" w:cs="Times New Roman"/>
          <w:sz w:val="24"/>
          <w:szCs w:val="24"/>
        </w:rPr>
        <w:t>“</w:t>
      </w:r>
      <w:r w:rsidRPr="00716193">
        <w:rPr>
          <w:rFonts w:ascii="Times New Roman" w:hAnsi="Times New Roman" w:cs="Times New Roman"/>
          <w:sz w:val="24"/>
          <w:szCs w:val="24"/>
        </w:rPr>
        <w:t xml:space="preserve"> ЕАД от ръководител отдел „Управление на спортни имоти“ и от директора на </w:t>
      </w:r>
      <w:r w:rsidR="00AC10B8" w:rsidRPr="00716193">
        <w:rPr>
          <w:rFonts w:ascii="Times New Roman" w:hAnsi="Times New Roman" w:cs="Times New Roman"/>
          <w:sz w:val="24"/>
          <w:szCs w:val="24"/>
        </w:rPr>
        <w:t>„ДАД“</w:t>
      </w:r>
      <w:r w:rsidRPr="00716193">
        <w:rPr>
          <w:rFonts w:ascii="Times New Roman" w:hAnsi="Times New Roman" w:cs="Times New Roman"/>
          <w:sz w:val="24"/>
          <w:szCs w:val="24"/>
        </w:rPr>
        <w:t>, във взаимодействие с главен експерт в отдел „Търговски“, ръководител отдел „Финансово счетоводен“, експерт „Наемно договорни отношения“, експерт „Управление на собствеността“ и главен юрисконсулт, за периода от 20.08.2013 г. до 31.12.2014 г., в несъответствие с чл. 7 от РИ 01-01-03 от Системата.</w:t>
      </w:r>
      <w:r w:rsidRPr="00716193">
        <w:rPr>
          <w:rStyle w:val="FootnoteReference"/>
          <w:rFonts w:ascii="Times New Roman" w:hAnsi="Times New Roman" w:cs="Times New Roman"/>
          <w:sz w:val="24"/>
          <w:szCs w:val="24"/>
        </w:rPr>
        <w:footnoteReference w:id="121"/>
      </w:r>
    </w:p>
    <w:p w:rsidR="005D13CE" w:rsidRPr="00716193" w:rsidRDefault="005D13CE" w:rsidP="005D13CE">
      <w:pPr>
        <w:pStyle w:val="NoSpacing"/>
        <w:jc w:val="both"/>
      </w:pPr>
      <w:r w:rsidRPr="00716193">
        <w:tab/>
        <w:t xml:space="preserve">Регламентираните в РИ 01-01-03 от Системата задължения, свързани с предварителния и текущия контрол на процедурите за отдаване под наем на активи на </w:t>
      </w:r>
      <w:r w:rsidR="000D7766" w:rsidRPr="00716193">
        <w:t>„</w:t>
      </w:r>
      <w:r w:rsidRPr="00716193">
        <w:t>НСБ</w:t>
      </w:r>
      <w:r w:rsidR="000D7766" w:rsidRPr="00716193">
        <w:t>“</w:t>
      </w:r>
      <w:r w:rsidRPr="00716193">
        <w:t xml:space="preserve"> ЕАД, са определени общо – посочени са служителите, които трябва да ги изпълнят, но липсва конкретика относно срокове, дейности и документи, които се съставят, удостоверяващи извършването на вида контрол.</w:t>
      </w:r>
      <w:r w:rsidRPr="00716193">
        <w:rPr>
          <w:rStyle w:val="FootnoteReference"/>
        </w:rPr>
        <w:footnoteReference w:id="122"/>
      </w:r>
    </w:p>
    <w:p w:rsidR="0084792C" w:rsidRPr="00716193" w:rsidRDefault="00BD0576" w:rsidP="0084792C">
      <w:pPr>
        <w:pStyle w:val="NoSpacing"/>
        <w:jc w:val="both"/>
      </w:pPr>
      <w:r w:rsidRPr="00716193">
        <w:tab/>
      </w:r>
      <w:r w:rsidR="00A607C0" w:rsidRPr="00716193">
        <w:t>По време на извършване на одита</w:t>
      </w:r>
      <w:r w:rsidR="005D13CE" w:rsidRPr="00716193">
        <w:rPr>
          <w:bCs/>
        </w:rPr>
        <w:t>, в съответствие с организационната структура на дружеството</w:t>
      </w:r>
      <w:r w:rsidR="00CE232E" w:rsidRPr="00716193">
        <w:rPr>
          <w:bCs/>
        </w:rPr>
        <w:t xml:space="preserve">, </w:t>
      </w:r>
      <w:r w:rsidR="005D13CE" w:rsidRPr="00716193">
        <w:rPr>
          <w:bCs/>
        </w:rPr>
        <w:t xml:space="preserve">е </w:t>
      </w:r>
      <w:r w:rsidR="00A607C0" w:rsidRPr="00716193">
        <w:rPr>
          <w:bCs/>
        </w:rPr>
        <w:t xml:space="preserve">приета нова </w:t>
      </w:r>
      <w:r w:rsidR="00AB2915" w:rsidRPr="00716193">
        <w:rPr>
          <w:bCs/>
        </w:rPr>
        <w:t>„</w:t>
      </w:r>
      <w:r w:rsidR="005D13CE" w:rsidRPr="00716193">
        <w:t xml:space="preserve">Система от правила, касаещи начина и реда за провеждане на състезателни процедури относно отдаването под наем на дълготрайни материални активи/или движими вещи, собственост на </w:t>
      </w:r>
      <w:r w:rsidR="000D7766" w:rsidRPr="00716193">
        <w:t>„</w:t>
      </w:r>
      <w:r w:rsidR="005D13CE" w:rsidRPr="00716193">
        <w:t>НСБ</w:t>
      </w:r>
      <w:r w:rsidR="000D7766" w:rsidRPr="00716193">
        <w:t>“</w:t>
      </w:r>
      <w:r w:rsidR="005D13CE" w:rsidRPr="00716193">
        <w:t xml:space="preserve"> ЕАД</w:t>
      </w:r>
      <w:r w:rsidR="00AB2915" w:rsidRPr="00716193">
        <w:t>“</w:t>
      </w:r>
      <w:r w:rsidR="005D13CE" w:rsidRPr="00716193">
        <w:t>.</w:t>
      </w:r>
      <w:r w:rsidR="005D13CE" w:rsidRPr="00716193">
        <w:rPr>
          <w:rStyle w:val="FootnoteReference"/>
          <w:bCs/>
        </w:rPr>
        <w:footnoteReference w:id="123"/>
      </w:r>
    </w:p>
    <w:p w:rsidR="00BE1296" w:rsidRPr="00716193" w:rsidRDefault="00BE1296" w:rsidP="0084792C">
      <w:pPr>
        <w:pStyle w:val="NoSpacing"/>
        <w:jc w:val="both"/>
      </w:pPr>
    </w:p>
    <w:p w:rsidR="00DE5765" w:rsidRPr="00716193" w:rsidRDefault="0084792C" w:rsidP="0084792C">
      <w:pPr>
        <w:pStyle w:val="NoSpacing"/>
        <w:jc w:val="both"/>
      </w:pPr>
      <w:r w:rsidRPr="00716193">
        <w:tab/>
      </w:r>
      <w:r w:rsidRPr="00716193">
        <w:rPr>
          <w:b/>
        </w:rPr>
        <w:t>1.1.</w:t>
      </w:r>
      <w:r w:rsidRPr="00716193">
        <w:t xml:space="preserve"> </w:t>
      </w:r>
      <w:r w:rsidR="00DE5765" w:rsidRPr="00716193">
        <w:rPr>
          <w:b/>
          <w:color w:val="000000"/>
        </w:rPr>
        <w:t xml:space="preserve">Сключване на договори за наем </w:t>
      </w:r>
      <w:r w:rsidRPr="00716193">
        <w:rPr>
          <w:b/>
          <w:color w:val="000000"/>
        </w:rPr>
        <w:t xml:space="preserve">на ДМА </w:t>
      </w:r>
      <w:r w:rsidR="00DE5765" w:rsidRPr="00716193">
        <w:rPr>
          <w:b/>
          <w:color w:val="000000"/>
        </w:rPr>
        <w:t xml:space="preserve">в резултат на провеждане на търг с тайно наддаване </w:t>
      </w:r>
    </w:p>
    <w:p w:rsidR="005D13CE" w:rsidRPr="00716193" w:rsidRDefault="005D13CE" w:rsidP="00DE5765">
      <w:pPr>
        <w:pStyle w:val="BodyText3"/>
        <w:spacing w:after="0"/>
        <w:ind w:firstLine="705"/>
        <w:jc w:val="both"/>
        <w:rPr>
          <w:rFonts w:ascii="Times New Roman" w:hAnsi="Times New Roman" w:cs="Times New Roman"/>
          <w:sz w:val="24"/>
          <w:szCs w:val="24"/>
        </w:rPr>
      </w:pPr>
      <w:r w:rsidRPr="00716193">
        <w:rPr>
          <w:rFonts w:ascii="Times New Roman" w:hAnsi="Times New Roman" w:cs="Times New Roman"/>
          <w:sz w:val="24"/>
          <w:szCs w:val="24"/>
        </w:rPr>
        <w:t xml:space="preserve">В </w:t>
      </w:r>
      <w:r w:rsidR="00C71EBE" w:rsidRPr="00716193">
        <w:rPr>
          <w:rFonts w:ascii="Times New Roman" w:hAnsi="Times New Roman" w:cs="Times New Roman"/>
          <w:sz w:val="24"/>
          <w:szCs w:val="24"/>
        </w:rPr>
        <w:t xml:space="preserve">чл. 15е </w:t>
      </w:r>
      <w:r w:rsidR="00A11E39" w:rsidRPr="00716193">
        <w:rPr>
          <w:rFonts w:ascii="Times New Roman" w:hAnsi="Times New Roman" w:cs="Times New Roman"/>
          <w:sz w:val="24"/>
          <w:szCs w:val="24"/>
        </w:rPr>
        <w:t xml:space="preserve">от </w:t>
      </w:r>
      <w:r w:rsidRPr="00716193">
        <w:rPr>
          <w:rFonts w:ascii="Times New Roman" w:hAnsi="Times New Roman" w:cs="Times New Roman"/>
          <w:sz w:val="24"/>
          <w:szCs w:val="24"/>
        </w:rPr>
        <w:t>ПРУПДТДДУК и вътрешни актове на дружеството</w:t>
      </w:r>
      <w:r w:rsidRPr="00716193">
        <w:rPr>
          <w:rStyle w:val="FootnoteReference"/>
          <w:rFonts w:ascii="Times New Roman" w:hAnsi="Times New Roman" w:cs="Times New Roman"/>
          <w:sz w:val="24"/>
          <w:szCs w:val="24"/>
        </w:rPr>
        <w:footnoteReference w:id="124"/>
      </w:r>
      <w:r w:rsidRPr="00716193">
        <w:rPr>
          <w:rFonts w:ascii="Times New Roman" w:hAnsi="Times New Roman" w:cs="Times New Roman"/>
          <w:sz w:val="24"/>
          <w:szCs w:val="24"/>
        </w:rPr>
        <w:t xml:space="preserve"> са регламентирани правилата за провеждането на търг с тайно наддаване. Изисква се предварително подаване на писмено заявление от всеки участник в запечатан непрозрачен плик в определения в решението на търговеца срок, като върху плика се отбелязват името на участника и наименованието на обекта на търга. В плика, освен документите за участие в търга, се поставя в малък запечатан и непрозрачен плик и ценовото предложение.</w:t>
      </w:r>
    </w:p>
    <w:p w:rsidR="005D13CE" w:rsidRPr="00716193" w:rsidRDefault="005D13CE" w:rsidP="005D13CE">
      <w:pPr>
        <w:ind w:firstLine="720"/>
        <w:jc w:val="both"/>
      </w:pPr>
      <w:r w:rsidRPr="00716193">
        <w:t xml:space="preserve">В деня на провеждане на търга комисията проверява спазени ли са условията за участие и обявява редовността на подадените документи. Ценовите предложения се </w:t>
      </w:r>
      <w:r w:rsidRPr="00716193">
        <w:lastRenderedPageBreak/>
        <w:t>подписват от всеки член на комисията по търга. Редовно подадените заявления се класират според размера на предложената цена, като търгът се смята за спечелен от участника, предложил най-високата цена.</w:t>
      </w:r>
    </w:p>
    <w:p w:rsidR="005D13CE" w:rsidRPr="00716193" w:rsidRDefault="00A11E39" w:rsidP="005D13CE">
      <w:pPr>
        <w:pStyle w:val="NoSpacing"/>
        <w:ind w:firstLine="705"/>
        <w:jc w:val="both"/>
      </w:pPr>
      <w:r w:rsidRPr="00716193">
        <w:t>И</w:t>
      </w:r>
      <w:r w:rsidR="005D13CE" w:rsidRPr="00716193">
        <w:t>звърш</w:t>
      </w:r>
      <w:r w:rsidRPr="00716193">
        <w:t>ена е</w:t>
      </w:r>
      <w:r w:rsidR="005D13CE" w:rsidRPr="00716193">
        <w:t xml:space="preserve"> проверка на документацията от проведените търгове за отдаване под наем на недвижимо имущество на дружеството през одитирания период, включени в обхвата на извадката, за да се оцени съответствието с изискванията на </w:t>
      </w:r>
      <w:r w:rsidR="005D13CE" w:rsidRPr="00716193">
        <w:rPr>
          <w:rStyle w:val="Strong"/>
          <w:b w:val="0"/>
        </w:rPr>
        <w:t>ПРУПДТДДУК</w:t>
      </w:r>
      <w:r w:rsidR="005D13CE" w:rsidRPr="00716193">
        <w:rPr>
          <w:b/>
        </w:rPr>
        <w:t xml:space="preserve"> </w:t>
      </w:r>
      <w:r w:rsidR="005D13CE" w:rsidRPr="00716193">
        <w:t>и вътрешните актове.</w:t>
      </w:r>
    </w:p>
    <w:p w:rsidR="005D13CE" w:rsidRPr="00716193" w:rsidRDefault="005D13CE" w:rsidP="005D13CE">
      <w:pPr>
        <w:pStyle w:val="NoSpacing"/>
        <w:jc w:val="both"/>
      </w:pPr>
      <w:r w:rsidRPr="00716193">
        <w:tab/>
        <w:t>Проверката е относно спазване на следните изисквания: наличие на решение на изпълнителния директор/ СД/ едноличния собственик на капитала</w:t>
      </w:r>
      <w:r w:rsidRPr="00716193">
        <w:rPr>
          <w:rStyle w:val="FootnoteReference"/>
        </w:rPr>
        <w:footnoteReference w:id="125"/>
      </w:r>
      <w:r w:rsidRPr="00716193">
        <w:t xml:space="preserve"> за провеждане на търг; оценка от лицензиран оценител за определяне на начална наемна цена при търга; изготвяне на тръжна документация и утвър</w:t>
      </w:r>
      <w:r w:rsidR="00D77556" w:rsidRPr="00716193">
        <w:t>ждаването й по съответния ред; р</w:t>
      </w:r>
      <w:r w:rsidRPr="00716193">
        <w:t xml:space="preserve">ешение на изпълнителния директор за откриване на процедурата и публикуване на обявление в един </w:t>
      </w:r>
      <w:r w:rsidR="00D77556" w:rsidRPr="00716193">
        <w:t>ежедневник в определения срок; заповед/р</w:t>
      </w:r>
      <w:r w:rsidRPr="00716193">
        <w:t xml:space="preserve">ешение на изпълнителния директор за назначаване на комисия по провеждане на търга и протокол на комисията; договор за наем, сключен с участника, предложил най-висока цена. </w:t>
      </w:r>
    </w:p>
    <w:p w:rsidR="005D13CE" w:rsidRPr="00716193" w:rsidRDefault="005D13CE" w:rsidP="005D13CE">
      <w:pPr>
        <w:pStyle w:val="NoSpacing"/>
        <w:jc w:val="both"/>
        <w:rPr>
          <w:color w:val="000000"/>
        </w:rPr>
      </w:pPr>
      <w:r w:rsidRPr="00716193">
        <w:tab/>
      </w:r>
      <w:r w:rsidR="00D77556" w:rsidRPr="00716193">
        <w:t>В ч</w:t>
      </w:r>
      <w:r w:rsidRPr="00716193">
        <w:rPr>
          <w:color w:val="000000"/>
        </w:rPr>
        <w:t xml:space="preserve">л. 19 от Правилника </w:t>
      </w:r>
      <w:r w:rsidR="00D77556" w:rsidRPr="00716193">
        <w:rPr>
          <w:color w:val="000000"/>
        </w:rPr>
        <w:t xml:space="preserve">е посочено </w:t>
      </w:r>
      <w:r w:rsidRPr="00716193">
        <w:rPr>
          <w:color w:val="000000"/>
        </w:rPr>
        <w:t>изисква</w:t>
      </w:r>
      <w:r w:rsidR="00D77556" w:rsidRPr="00716193">
        <w:rPr>
          <w:color w:val="000000"/>
        </w:rPr>
        <w:t>не</w:t>
      </w:r>
      <w:r w:rsidRPr="00716193">
        <w:rPr>
          <w:color w:val="000000"/>
        </w:rPr>
        <w:t xml:space="preserve"> изготвеният проект на договор, част от тръжната документация, да се съгласува с главен счетоводител, с директора по икономическите въпроси, както и с управителя на съответната база, където се намира обекта, предмет на процед</w:t>
      </w:r>
      <w:r w:rsidR="00D77556" w:rsidRPr="00716193">
        <w:rPr>
          <w:color w:val="000000"/>
        </w:rPr>
        <w:t>урата по провеждане на търга. Таков</w:t>
      </w:r>
      <w:r w:rsidRPr="00716193">
        <w:rPr>
          <w:color w:val="000000"/>
        </w:rPr>
        <w:t>а изискване е заложено и в чл. 17 от РИ 01-01 на Системата, а именно проект</w:t>
      </w:r>
      <w:r w:rsidR="00D77556" w:rsidRPr="00716193">
        <w:rPr>
          <w:color w:val="000000"/>
        </w:rPr>
        <w:t>а</w:t>
      </w:r>
      <w:r w:rsidRPr="00716193">
        <w:rPr>
          <w:color w:val="000000"/>
        </w:rPr>
        <w:t xml:space="preserve"> на договор да се съгласува с </w:t>
      </w:r>
      <w:r w:rsidR="00D77556" w:rsidRPr="00716193">
        <w:rPr>
          <w:color w:val="000000"/>
        </w:rPr>
        <w:t>д</w:t>
      </w:r>
      <w:r w:rsidRPr="00716193">
        <w:rPr>
          <w:color w:val="000000"/>
        </w:rPr>
        <w:t>иректорите на дирекции, ръководител отдел „</w:t>
      </w:r>
      <w:r w:rsidR="001F0405" w:rsidRPr="00716193">
        <w:rPr>
          <w:color w:val="000000"/>
        </w:rPr>
        <w:t>Ф</w:t>
      </w:r>
      <w:r w:rsidRPr="00716193">
        <w:rPr>
          <w:color w:val="000000"/>
        </w:rPr>
        <w:t>инансово-стопански“ и с управителя на съответната база.</w:t>
      </w:r>
    </w:p>
    <w:p w:rsidR="005D13CE" w:rsidRPr="00716193" w:rsidRDefault="005D13CE" w:rsidP="005D13CE">
      <w:pPr>
        <w:ind w:firstLine="720"/>
        <w:jc w:val="both"/>
      </w:pPr>
      <w:r w:rsidRPr="00716193">
        <w:t xml:space="preserve"> От извършената проверка на 26 досиета на сключените през одитирания период договори след провеждане на търг с тайно наддаване, е установ</w:t>
      </w:r>
      <w:r w:rsidR="00A11E39" w:rsidRPr="00716193">
        <w:t>ено</w:t>
      </w:r>
      <w:r w:rsidRPr="00716193">
        <w:t>:</w:t>
      </w:r>
    </w:p>
    <w:p w:rsidR="005D13CE" w:rsidRPr="00716193" w:rsidRDefault="005D13CE" w:rsidP="005D13CE">
      <w:pPr>
        <w:ind w:firstLine="720"/>
        <w:jc w:val="both"/>
        <w:rPr>
          <w:color w:val="000000"/>
        </w:rPr>
      </w:pPr>
      <w:r w:rsidRPr="00716193">
        <w:rPr>
          <w:b/>
        </w:rPr>
        <w:t>1.1.1.</w:t>
      </w:r>
      <w:r w:rsidRPr="00716193">
        <w:t xml:space="preserve"> Във всички проверени досиета, и</w:t>
      </w:r>
      <w:r w:rsidRPr="00716193">
        <w:rPr>
          <w:color w:val="000000"/>
        </w:rPr>
        <w:t>зготвеният проект на договор, част от тръжната документация</w:t>
      </w:r>
      <w:r w:rsidR="0081680A" w:rsidRPr="00716193">
        <w:rPr>
          <w:color w:val="000000"/>
        </w:rPr>
        <w:t>,</w:t>
      </w:r>
      <w:r w:rsidRPr="00716193">
        <w:rPr>
          <w:color w:val="000000"/>
        </w:rPr>
        <w:t xml:space="preserve"> не е съгласуван</w:t>
      </w:r>
      <w:r w:rsidR="00E37184" w:rsidRPr="00716193">
        <w:rPr>
          <w:color w:val="000000"/>
        </w:rPr>
        <w:t>:</w:t>
      </w:r>
      <w:r w:rsidRPr="00716193">
        <w:rPr>
          <w:color w:val="000000"/>
        </w:rPr>
        <w:t xml:space="preserve"> с главен счетоводител, с директора по икономическите въпроси, както и с управителя на съответната база – за договорите, сключени през периода от 01.01.2013 г. до 19.08.2013 г., в несъответствие с чл. 19 от Правилника</w:t>
      </w:r>
      <w:r w:rsidRPr="00716193">
        <w:rPr>
          <w:rStyle w:val="FootnoteReference"/>
          <w:color w:val="000000"/>
        </w:rPr>
        <w:footnoteReference w:id="126"/>
      </w:r>
      <w:r w:rsidRPr="00716193">
        <w:rPr>
          <w:color w:val="000000"/>
        </w:rPr>
        <w:t>; с директорите на дирекции, ръководител отдел „Финансово-стопански“, както и с управителя на съответната база – за договорите, сключени през периода от 20.08.2013 г. до 31.12.2014 г., в несъответствие с изискването на чл. 17 от РИ 01-01 на Системата</w:t>
      </w:r>
      <w:r w:rsidRPr="00716193">
        <w:rPr>
          <w:rStyle w:val="FootnoteReference"/>
          <w:color w:val="000000"/>
        </w:rPr>
        <w:footnoteReference w:id="127"/>
      </w:r>
      <w:r w:rsidRPr="00716193">
        <w:rPr>
          <w:color w:val="000000"/>
        </w:rPr>
        <w:t>;</w:t>
      </w:r>
    </w:p>
    <w:p w:rsidR="005D13CE" w:rsidRPr="00716193" w:rsidRDefault="005D13CE" w:rsidP="005D13CE">
      <w:pPr>
        <w:ind w:firstLine="720"/>
        <w:jc w:val="both"/>
        <w:rPr>
          <w:spacing w:val="2"/>
        </w:rPr>
      </w:pPr>
      <w:r w:rsidRPr="00716193">
        <w:rPr>
          <w:b/>
          <w:color w:val="000000"/>
        </w:rPr>
        <w:t>1.1.2.</w:t>
      </w:r>
      <w:r w:rsidRPr="00716193">
        <w:rPr>
          <w:color w:val="000000"/>
        </w:rPr>
        <w:t xml:space="preserve"> </w:t>
      </w:r>
      <w:r w:rsidR="004D39B9" w:rsidRPr="00716193">
        <w:rPr>
          <w:spacing w:val="2"/>
        </w:rPr>
        <w:t>Във всички досиета</w:t>
      </w:r>
      <w:r w:rsidRPr="00716193">
        <w:rPr>
          <w:spacing w:val="2"/>
        </w:rPr>
        <w:t xml:space="preserve"> решението на търговеца, с което се открива</w:t>
      </w:r>
      <w:r w:rsidR="004D39B9" w:rsidRPr="00716193">
        <w:rPr>
          <w:spacing w:val="2"/>
        </w:rPr>
        <w:t xml:space="preserve"> </w:t>
      </w:r>
      <w:r w:rsidRPr="00716193">
        <w:rPr>
          <w:spacing w:val="2"/>
        </w:rPr>
        <w:t>съответният търг, не съдържа изискуемата по чл. 15, ал. 1, т. 10 от ПРУПДТДДУК и вътрешните актове информация относно ден, място и час на повторно провеждане на търга</w:t>
      </w:r>
      <w:r w:rsidRPr="00716193">
        <w:rPr>
          <w:rStyle w:val="FootnoteReference"/>
          <w:spacing w:val="2"/>
        </w:rPr>
        <w:footnoteReference w:id="128"/>
      </w:r>
      <w:r w:rsidRPr="00716193">
        <w:rPr>
          <w:spacing w:val="2"/>
        </w:rPr>
        <w:t>;</w:t>
      </w:r>
    </w:p>
    <w:p w:rsidR="005D13CE" w:rsidRPr="00716193" w:rsidRDefault="005D13CE" w:rsidP="005D13CE">
      <w:pPr>
        <w:ind w:firstLine="720"/>
        <w:jc w:val="both"/>
      </w:pPr>
      <w:r w:rsidRPr="00716193">
        <w:rPr>
          <w:b/>
        </w:rPr>
        <w:t>1.1.3.</w:t>
      </w:r>
      <w:r w:rsidR="004039E8" w:rsidRPr="00716193">
        <w:t xml:space="preserve"> В 3</w:t>
      </w:r>
      <w:r w:rsidRPr="00716193">
        <w:t xml:space="preserve"> от</w:t>
      </w:r>
      <w:r w:rsidR="00767CE7" w:rsidRPr="00716193">
        <w:t xml:space="preserve"> досиетата на сключени договори</w:t>
      </w:r>
      <w:r w:rsidRPr="00716193">
        <w:t xml:space="preserve"> се съдържат заповеди на изпълнителния директор за назначаване на комисия по провеждане на търга, в която не са определени двама резервни членове, а само по един, в несъответствие с чл. 15а, ал. 1 от ПРУПДТДДУК</w:t>
      </w:r>
      <w:r w:rsidRPr="00716193">
        <w:rPr>
          <w:rStyle w:val="FootnoteReference"/>
        </w:rPr>
        <w:footnoteReference w:id="129"/>
      </w:r>
      <w:r w:rsidRPr="00716193">
        <w:t>;</w:t>
      </w:r>
    </w:p>
    <w:p w:rsidR="005D13CE" w:rsidRPr="00716193" w:rsidRDefault="005D13CE" w:rsidP="005D13CE">
      <w:pPr>
        <w:ind w:firstLine="720"/>
        <w:jc w:val="both"/>
      </w:pPr>
      <w:r w:rsidRPr="00716193">
        <w:rPr>
          <w:b/>
        </w:rPr>
        <w:t>1.1.4.</w:t>
      </w:r>
      <w:r w:rsidRPr="00716193">
        <w:t xml:space="preserve"> В 9 от договорите </w:t>
      </w:r>
      <w:r w:rsidR="00B07806" w:rsidRPr="00716193">
        <w:t xml:space="preserve">„НСБ“ ЕАД се е възползвало от предоставената правна възможност </w:t>
      </w:r>
      <w:r w:rsidR="00CE4785" w:rsidRPr="00716193">
        <w:t xml:space="preserve">отдаването под наем да се третира като </w:t>
      </w:r>
      <w:r w:rsidRPr="00716193">
        <w:t xml:space="preserve">освободена </w:t>
      </w:r>
      <w:r w:rsidR="00CE4785" w:rsidRPr="00716193">
        <w:t xml:space="preserve">доставка </w:t>
      </w:r>
      <w:r w:rsidRPr="00716193">
        <w:t>по смисъла на чл. 45, ал. 4 от ЗДДС.</w:t>
      </w:r>
      <w:r w:rsidRPr="00716193">
        <w:rPr>
          <w:rStyle w:val="FootnoteReference"/>
        </w:rPr>
        <w:footnoteReference w:id="130"/>
      </w:r>
    </w:p>
    <w:p w:rsidR="00CE4785" w:rsidRPr="00716193" w:rsidRDefault="00CE4785" w:rsidP="005D13CE">
      <w:pPr>
        <w:ind w:firstLine="720"/>
        <w:jc w:val="both"/>
      </w:pPr>
    </w:p>
    <w:p w:rsidR="009D3EC3" w:rsidRPr="00716193" w:rsidRDefault="005D13CE" w:rsidP="005D13CE">
      <w:pPr>
        <w:ind w:firstLine="720"/>
        <w:jc w:val="both"/>
        <w:rPr>
          <w:b/>
          <w:color w:val="000000"/>
        </w:rPr>
      </w:pPr>
      <w:r w:rsidRPr="00716193">
        <w:rPr>
          <w:b/>
        </w:rPr>
        <w:t>1.2.</w:t>
      </w:r>
      <w:r w:rsidRPr="00716193">
        <w:t xml:space="preserve"> </w:t>
      </w:r>
      <w:r w:rsidR="009D3EC3" w:rsidRPr="00716193">
        <w:rPr>
          <w:b/>
          <w:color w:val="000000"/>
        </w:rPr>
        <w:t xml:space="preserve">Сключване на договори за наем </w:t>
      </w:r>
      <w:r w:rsidR="0084792C" w:rsidRPr="00716193">
        <w:rPr>
          <w:b/>
          <w:color w:val="000000"/>
        </w:rPr>
        <w:t xml:space="preserve">на ДМА </w:t>
      </w:r>
      <w:r w:rsidR="009D3EC3" w:rsidRPr="00716193">
        <w:rPr>
          <w:b/>
          <w:color w:val="000000"/>
        </w:rPr>
        <w:t>чрез пряко договаряне</w:t>
      </w:r>
    </w:p>
    <w:p w:rsidR="005D13CE" w:rsidRPr="00716193" w:rsidRDefault="005D13CE" w:rsidP="005D13CE">
      <w:pPr>
        <w:ind w:firstLine="720"/>
        <w:jc w:val="both"/>
      </w:pPr>
      <w:r w:rsidRPr="00716193">
        <w:t>В ПРУПДТДДУК</w:t>
      </w:r>
      <w:r w:rsidRPr="00716193">
        <w:rPr>
          <w:rStyle w:val="FootnoteReference"/>
        </w:rPr>
        <w:footnoteReference w:id="131"/>
      </w:r>
      <w:r w:rsidRPr="00716193">
        <w:t xml:space="preserve"> и вътрешни актове на дружеството</w:t>
      </w:r>
      <w:r w:rsidRPr="00716193">
        <w:rPr>
          <w:rStyle w:val="FootnoteReference"/>
        </w:rPr>
        <w:footnoteReference w:id="132"/>
      </w:r>
      <w:r w:rsidRPr="00716193">
        <w:t xml:space="preserve"> е регламентиран </w:t>
      </w:r>
      <w:r w:rsidR="00AC4D4E" w:rsidRPr="00716193">
        <w:t xml:space="preserve"> </w:t>
      </w:r>
      <w:r w:rsidR="00192359" w:rsidRPr="00716193">
        <w:t>специален</w:t>
      </w:r>
      <w:r w:rsidRPr="00716193">
        <w:t xml:space="preserve"> ред за сключване на договори за наем на дълготрайни активи чрез пряко договаряне. Във връзка с прилагането му, се изисква: разрешение на едноличния собственик на капитала за сключването на договори за отдаване под наем на ДМА - спортни обекти и съоръжения, независимо от балансовата им стойност; прякото договаряне да се извършва с юридически лица с нестопанска цел за осъществяване на общественополезна дейност, чиято основна дейност съответства на предназначението на актива; началната цена да бъде определена от лицензиран оценител, а договорът да е за срок до една година.</w:t>
      </w:r>
    </w:p>
    <w:p w:rsidR="005D13CE" w:rsidRPr="00716193" w:rsidRDefault="005D13CE" w:rsidP="005D13CE">
      <w:pPr>
        <w:pStyle w:val="ListParagraph"/>
        <w:ind w:left="0" w:firstLine="709"/>
        <w:jc w:val="both"/>
        <w:rPr>
          <w:rFonts w:ascii="Times New Roman" w:hAnsi="Times New Roman" w:cs="Times New Roman"/>
          <w:lang w:val="bg-BG"/>
        </w:rPr>
      </w:pPr>
      <w:r w:rsidRPr="00716193">
        <w:rPr>
          <w:rFonts w:ascii="Times New Roman" w:hAnsi="Times New Roman" w:cs="Times New Roman"/>
          <w:lang w:val="bg-BG"/>
        </w:rPr>
        <w:t>От извършената проверка на 6 досиета на сключените през одитирания период договори за наем чрез пряко договаряне, е установ</w:t>
      </w:r>
      <w:r w:rsidR="00CF1C9F" w:rsidRPr="00716193">
        <w:rPr>
          <w:rFonts w:ascii="Times New Roman" w:hAnsi="Times New Roman" w:cs="Times New Roman"/>
          <w:lang w:val="bg-BG"/>
        </w:rPr>
        <w:t>ено</w:t>
      </w:r>
      <w:r w:rsidRPr="00716193">
        <w:rPr>
          <w:rFonts w:ascii="Times New Roman" w:hAnsi="Times New Roman" w:cs="Times New Roman"/>
          <w:lang w:val="bg-BG"/>
        </w:rPr>
        <w:t>:</w:t>
      </w:r>
    </w:p>
    <w:p w:rsidR="005D13CE" w:rsidRPr="00716193" w:rsidRDefault="005D13CE" w:rsidP="005D13CE">
      <w:pPr>
        <w:pStyle w:val="ListParagraph"/>
        <w:ind w:left="0" w:firstLine="709"/>
        <w:jc w:val="both"/>
        <w:rPr>
          <w:rFonts w:ascii="Times New Roman" w:hAnsi="Times New Roman" w:cs="Times New Roman"/>
          <w:lang w:val="bg-BG"/>
        </w:rPr>
      </w:pPr>
      <w:r w:rsidRPr="00716193">
        <w:rPr>
          <w:rFonts w:ascii="Times New Roman" w:hAnsi="Times New Roman" w:cs="Times New Roman"/>
          <w:b/>
          <w:lang w:val="bg-BG"/>
        </w:rPr>
        <w:t>1.2.1.</w:t>
      </w:r>
      <w:r w:rsidRPr="00716193">
        <w:rPr>
          <w:rFonts w:ascii="Times New Roman" w:hAnsi="Times New Roman" w:cs="Times New Roman"/>
          <w:lang w:val="bg-BG"/>
        </w:rPr>
        <w:t xml:space="preserve"> В един от договорите наемната цена е по-ниска от определената от лицензиран оценител начална наемна цена, в несъответствие с чл. 17, ал. 2 от ПРУПДТДДУК и вътрешните актове</w:t>
      </w:r>
      <w:r w:rsidRPr="00716193">
        <w:rPr>
          <w:rStyle w:val="FootnoteReference"/>
          <w:rFonts w:ascii="Times New Roman" w:hAnsi="Times New Roman" w:cs="Times New Roman"/>
          <w:lang w:val="bg-BG"/>
        </w:rPr>
        <w:footnoteReference w:id="133"/>
      </w:r>
      <w:r w:rsidRPr="00716193">
        <w:rPr>
          <w:rFonts w:ascii="Times New Roman" w:hAnsi="Times New Roman" w:cs="Times New Roman"/>
          <w:lang w:val="bg-BG"/>
        </w:rPr>
        <w:t>;</w:t>
      </w:r>
    </w:p>
    <w:p w:rsidR="005D13CE" w:rsidRPr="00716193" w:rsidRDefault="005D13CE" w:rsidP="005D13CE">
      <w:pPr>
        <w:pStyle w:val="ListParagraph"/>
        <w:ind w:left="0" w:firstLine="709"/>
        <w:jc w:val="both"/>
        <w:rPr>
          <w:rFonts w:ascii="Times New Roman" w:hAnsi="Times New Roman" w:cs="Times New Roman"/>
          <w:lang w:val="bg-BG"/>
        </w:rPr>
      </w:pPr>
      <w:r w:rsidRPr="00716193">
        <w:rPr>
          <w:rFonts w:ascii="Times New Roman" w:hAnsi="Times New Roman" w:cs="Times New Roman"/>
          <w:b/>
          <w:lang w:val="bg-BG"/>
        </w:rPr>
        <w:t>1.2.2.</w:t>
      </w:r>
      <w:r w:rsidRPr="00716193">
        <w:rPr>
          <w:rFonts w:ascii="Times New Roman" w:hAnsi="Times New Roman" w:cs="Times New Roman"/>
          <w:lang w:val="bg-BG"/>
        </w:rPr>
        <w:t xml:space="preserve"> Договор № 12-001845-1</w:t>
      </w:r>
      <w:r w:rsidR="00E32BA9">
        <w:rPr>
          <w:rFonts w:ascii="Times New Roman" w:hAnsi="Times New Roman" w:cs="Times New Roman"/>
          <w:lang w:val="bg-BG"/>
        </w:rPr>
        <w:t xml:space="preserve"> от </w:t>
      </w:r>
      <w:r w:rsidRPr="00716193">
        <w:rPr>
          <w:rFonts w:ascii="Times New Roman" w:hAnsi="Times New Roman" w:cs="Times New Roman"/>
          <w:lang w:val="bg-BG"/>
        </w:rPr>
        <w:t xml:space="preserve">09.01.2013 г. за отдаване под наем на дълготраен актив, собственост на </w:t>
      </w:r>
      <w:r w:rsidR="000D7766" w:rsidRPr="00716193">
        <w:rPr>
          <w:rFonts w:ascii="Times New Roman" w:hAnsi="Times New Roman" w:cs="Times New Roman"/>
          <w:lang w:val="bg-BG"/>
        </w:rPr>
        <w:t>„</w:t>
      </w:r>
      <w:r w:rsidRPr="00716193">
        <w:rPr>
          <w:rFonts w:ascii="Times New Roman" w:hAnsi="Times New Roman" w:cs="Times New Roman"/>
          <w:lang w:val="bg-BG"/>
        </w:rPr>
        <w:t>НСБ</w:t>
      </w:r>
      <w:r w:rsidR="000D7766" w:rsidRPr="00716193">
        <w:rPr>
          <w:rFonts w:ascii="Times New Roman" w:hAnsi="Times New Roman" w:cs="Times New Roman"/>
          <w:lang w:val="bg-BG"/>
        </w:rPr>
        <w:t>“</w:t>
      </w:r>
      <w:r w:rsidRPr="00716193">
        <w:rPr>
          <w:rFonts w:ascii="Times New Roman" w:hAnsi="Times New Roman" w:cs="Times New Roman"/>
          <w:lang w:val="bg-BG"/>
        </w:rPr>
        <w:t xml:space="preserve"> ЕАД, а именно: помещения на 2-ри етаж, с обща площ 88 </w:t>
      </w:r>
      <w:r w:rsidR="004C22DA" w:rsidRPr="00716193">
        <w:rPr>
          <w:rFonts w:ascii="Times New Roman" w:hAnsi="Times New Roman" w:cs="Times New Roman"/>
          <w:lang w:val="bg-BG"/>
        </w:rPr>
        <w:br/>
      </w:r>
      <w:r w:rsidRPr="00716193">
        <w:rPr>
          <w:rFonts w:ascii="Times New Roman" w:hAnsi="Times New Roman" w:cs="Times New Roman"/>
          <w:lang w:val="bg-BG"/>
        </w:rPr>
        <w:t>кв. м., и помещения на 3-ти етаж, с обща площ 1253 кв.м., в „Национален център по борба и вдигане на тежести“, находящ се в НСК „Диана“ гр. София, със Сдружение „Българска федерация борба БФБ“</w:t>
      </w:r>
      <w:r w:rsidR="004D230A" w:rsidRPr="00716193">
        <w:rPr>
          <w:rFonts w:ascii="Times New Roman" w:hAnsi="Times New Roman" w:cs="Times New Roman"/>
          <w:lang w:val="bg-BG"/>
        </w:rPr>
        <w:t>, е сключен без</w:t>
      </w:r>
      <w:r w:rsidR="000A180A" w:rsidRPr="00716193">
        <w:rPr>
          <w:rFonts w:ascii="Times New Roman" w:hAnsi="Times New Roman" w:cs="Times New Roman"/>
          <w:lang w:val="bg-BG"/>
        </w:rPr>
        <w:t xml:space="preserve"> </w:t>
      </w:r>
      <w:r w:rsidRPr="00716193">
        <w:rPr>
          <w:rFonts w:ascii="Times New Roman" w:hAnsi="Times New Roman" w:cs="Times New Roman"/>
          <w:lang w:val="bg-BG"/>
        </w:rPr>
        <w:t>разрешение на едноличния собственик на капитала за отдаването под наем на ДМА, в несъответствие с чл. 17, ал. 2 от ПРУПДТДДУК и вътрешните актове</w:t>
      </w:r>
      <w:r w:rsidRPr="00716193">
        <w:rPr>
          <w:rStyle w:val="FootnoteReference"/>
          <w:rFonts w:ascii="Times New Roman" w:hAnsi="Times New Roman" w:cs="Times New Roman"/>
          <w:lang w:val="bg-BG"/>
        </w:rPr>
        <w:footnoteReference w:id="134"/>
      </w:r>
      <w:r w:rsidRPr="00716193">
        <w:rPr>
          <w:rFonts w:ascii="Times New Roman" w:hAnsi="Times New Roman" w:cs="Times New Roman"/>
          <w:lang w:val="bg-BG"/>
        </w:rPr>
        <w:t>;</w:t>
      </w:r>
    </w:p>
    <w:p w:rsidR="005D13CE" w:rsidRPr="00716193" w:rsidRDefault="005D13CE" w:rsidP="005D13CE">
      <w:pPr>
        <w:pStyle w:val="ListParagraph"/>
        <w:ind w:left="0" w:firstLine="709"/>
        <w:jc w:val="both"/>
        <w:rPr>
          <w:rFonts w:ascii="Times New Roman" w:hAnsi="Times New Roman" w:cs="Times New Roman"/>
          <w:lang w:val="bg-BG"/>
        </w:rPr>
      </w:pPr>
      <w:r w:rsidRPr="00716193">
        <w:rPr>
          <w:rFonts w:ascii="Times New Roman" w:hAnsi="Times New Roman" w:cs="Times New Roman"/>
          <w:b/>
          <w:lang w:val="bg-BG"/>
        </w:rPr>
        <w:t>1.2.3.</w:t>
      </w:r>
      <w:r w:rsidRPr="00716193">
        <w:rPr>
          <w:rFonts w:ascii="Times New Roman" w:hAnsi="Times New Roman" w:cs="Times New Roman"/>
          <w:lang w:val="bg-BG"/>
        </w:rPr>
        <w:t xml:space="preserve">  Сключването на Договор № 13-1926-1 от 21.01.2014 г. със Сдружение „Българска федерация „Естетическа групова гимнастика“ за отдаване под наем на дълготрайни активи, собственост на </w:t>
      </w:r>
      <w:r w:rsidR="000D7766" w:rsidRPr="00716193">
        <w:rPr>
          <w:rFonts w:ascii="Times New Roman" w:hAnsi="Times New Roman" w:cs="Times New Roman"/>
          <w:lang w:val="bg-BG"/>
        </w:rPr>
        <w:t>„</w:t>
      </w:r>
      <w:r w:rsidRPr="00716193">
        <w:rPr>
          <w:rFonts w:ascii="Times New Roman" w:hAnsi="Times New Roman" w:cs="Times New Roman"/>
          <w:lang w:val="bg-BG"/>
        </w:rPr>
        <w:t>НСБ</w:t>
      </w:r>
      <w:r w:rsidR="000D7766" w:rsidRPr="00716193">
        <w:rPr>
          <w:rFonts w:ascii="Times New Roman" w:hAnsi="Times New Roman" w:cs="Times New Roman"/>
          <w:lang w:val="bg-BG"/>
        </w:rPr>
        <w:t>“</w:t>
      </w:r>
      <w:r w:rsidRPr="00716193">
        <w:rPr>
          <w:rFonts w:ascii="Times New Roman" w:hAnsi="Times New Roman" w:cs="Times New Roman"/>
          <w:lang w:val="bg-BG"/>
        </w:rPr>
        <w:t xml:space="preserve"> ЕАД, находящи се в НС „Васил Левски“, </w:t>
      </w:r>
      <w:r w:rsidR="00430D68" w:rsidRPr="00716193">
        <w:rPr>
          <w:rFonts w:ascii="Times New Roman" w:hAnsi="Times New Roman" w:cs="Times New Roman"/>
          <w:lang w:val="bg-BG"/>
        </w:rPr>
        <w:br/>
      </w:r>
      <w:r w:rsidRPr="00716193">
        <w:rPr>
          <w:rFonts w:ascii="Times New Roman" w:hAnsi="Times New Roman" w:cs="Times New Roman"/>
          <w:lang w:val="bg-BG"/>
        </w:rPr>
        <w:t>гр. София, е в съответствие с изискванията на ПРУПДТДДУК и Системата</w:t>
      </w:r>
      <w:r w:rsidR="001015EB" w:rsidRPr="00716193">
        <w:rPr>
          <w:rFonts w:ascii="Times New Roman" w:hAnsi="Times New Roman" w:cs="Times New Roman"/>
          <w:lang w:val="bg-BG"/>
        </w:rPr>
        <w:t>, с изключение на</w:t>
      </w:r>
      <w:r w:rsidRPr="00716193">
        <w:rPr>
          <w:rFonts w:ascii="Times New Roman" w:hAnsi="Times New Roman" w:cs="Times New Roman"/>
          <w:lang w:val="bg-BG"/>
        </w:rPr>
        <w:t xml:space="preserve"> </w:t>
      </w:r>
      <w:r w:rsidR="001015EB" w:rsidRPr="00716193">
        <w:rPr>
          <w:rFonts w:ascii="Times New Roman" w:hAnsi="Times New Roman" w:cs="Times New Roman"/>
          <w:lang w:val="bg-BG"/>
        </w:rPr>
        <w:t>в</w:t>
      </w:r>
      <w:r w:rsidRPr="00716193">
        <w:rPr>
          <w:rFonts w:ascii="Times New Roman" w:hAnsi="Times New Roman" w:cs="Times New Roman"/>
          <w:lang w:val="bg-BG"/>
        </w:rPr>
        <w:t>ъведената с чл. 27 от Работна инструкция 01-01 на Системата контролна дейност, а именно: липсва изготвен доклад от експерт наемно</w:t>
      </w:r>
      <w:r w:rsidR="000D2378" w:rsidRPr="00716193">
        <w:rPr>
          <w:rFonts w:ascii="Times New Roman" w:hAnsi="Times New Roman" w:cs="Times New Roman"/>
          <w:lang w:val="bg-BG"/>
        </w:rPr>
        <w:t>-</w:t>
      </w:r>
      <w:r w:rsidRPr="00716193">
        <w:rPr>
          <w:rFonts w:ascii="Times New Roman" w:hAnsi="Times New Roman" w:cs="Times New Roman"/>
          <w:lang w:val="bg-BG"/>
        </w:rPr>
        <w:t>договорни отношения за докладване необходимостта от предприемане на действия по отдаване под наем на актива на българска спортна федерация или спортен клуб</w:t>
      </w:r>
      <w:r w:rsidRPr="00716193">
        <w:rPr>
          <w:rStyle w:val="FootnoteReference"/>
          <w:rFonts w:ascii="Times New Roman" w:hAnsi="Times New Roman" w:cs="Times New Roman"/>
          <w:lang w:val="bg-BG"/>
        </w:rPr>
        <w:footnoteReference w:id="135"/>
      </w:r>
      <w:r w:rsidRPr="00716193">
        <w:rPr>
          <w:rFonts w:ascii="Times New Roman" w:hAnsi="Times New Roman" w:cs="Times New Roman"/>
          <w:lang w:val="bg-BG"/>
        </w:rPr>
        <w:t>.</w:t>
      </w:r>
    </w:p>
    <w:p w:rsidR="00A607C7" w:rsidRPr="00716193" w:rsidRDefault="00A607C7" w:rsidP="005D13CE">
      <w:pPr>
        <w:pStyle w:val="ListParagraph"/>
        <w:ind w:left="0" w:firstLine="709"/>
        <w:jc w:val="both"/>
        <w:rPr>
          <w:rFonts w:ascii="Times New Roman" w:hAnsi="Times New Roman" w:cs="Times New Roman"/>
          <w:lang w:val="bg-BG"/>
        </w:rPr>
      </w:pPr>
    </w:p>
    <w:p w:rsidR="009D3EC3" w:rsidRPr="00716193" w:rsidRDefault="005D13CE" w:rsidP="005D13CE">
      <w:pPr>
        <w:pStyle w:val="ListParagraph"/>
        <w:ind w:left="0" w:firstLine="709"/>
        <w:jc w:val="both"/>
        <w:rPr>
          <w:rFonts w:ascii="Times New Roman" w:hAnsi="Times New Roman" w:cs="Times New Roman"/>
          <w:lang w:val="bg-BG"/>
        </w:rPr>
      </w:pPr>
      <w:r w:rsidRPr="00716193">
        <w:rPr>
          <w:rFonts w:ascii="Times New Roman" w:hAnsi="Times New Roman" w:cs="Times New Roman"/>
          <w:b/>
          <w:lang w:val="bg-BG"/>
        </w:rPr>
        <w:t>1.3.</w:t>
      </w:r>
      <w:r w:rsidRPr="00716193">
        <w:rPr>
          <w:rFonts w:ascii="Times New Roman" w:hAnsi="Times New Roman" w:cs="Times New Roman"/>
          <w:lang w:val="bg-BG"/>
        </w:rPr>
        <w:t xml:space="preserve"> </w:t>
      </w:r>
      <w:r w:rsidR="009D3EC3" w:rsidRPr="00716193">
        <w:rPr>
          <w:rStyle w:val="Strong"/>
          <w:rFonts w:ascii="Times New Roman" w:hAnsi="Times New Roman" w:cs="Times New Roman"/>
          <w:lang w:val="bg-BG"/>
        </w:rPr>
        <w:t>Сключване на договори със служители за предоставяне под наем на жилища</w:t>
      </w:r>
      <w:r w:rsidR="009D3EC3" w:rsidRPr="00716193">
        <w:rPr>
          <w:rFonts w:ascii="Times New Roman" w:hAnsi="Times New Roman" w:cs="Times New Roman"/>
          <w:lang w:val="bg-BG"/>
        </w:rPr>
        <w:t xml:space="preserve"> </w:t>
      </w:r>
    </w:p>
    <w:p w:rsidR="005D13CE" w:rsidRPr="00716193" w:rsidRDefault="005D13CE" w:rsidP="005D13CE">
      <w:pPr>
        <w:pStyle w:val="ListParagraph"/>
        <w:ind w:left="0" w:firstLine="709"/>
        <w:jc w:val="both"/>
        <w:rPr>
          <w:rFonts w:ascii="Times New Roman" w:hAnsi="Times New Roman" w:cs="Times New Roman"/>
          <w:lang w:val="bg-BG"/>
        </w:rPr>
      </w:pPr>
      <w:r w:rsidRPr="00716193">
        <w:rPr>
          <w:rFonts w:ascii="Times New Roman" w:hAnsi="Times New Roman" w:cs="Times New Roman"/>
          <w:lang w:val="bg-BG"/>
        </w:rPr>
        <w:t>В ПРУПДТДДУК</w:t>
      </w:r>
      <w:r w:rsidRPr="00716193">
        <w:rPr>
          <w:rStyle w:val="FootnoteReference"/>
          <w:rFonts w:ascii="Times New Roman" w:hAnsi="Times New Roman" w:cs="Times New Roman"/>
          <w:lang w:val="bg-BG"/>
        </w:rPr>
        <w:footnoteReference w:id="136"/>
      </w:r>
      <w:r w:rsidRPr="00716193">
        <w:rPr>
          <w:rFonts w:ascii="Times New Roman" w:hAnsi="Times New Roman" w:cs="Times New Roman"/>
          <w:lang w:val="bg-BG"/>
        </w:rPr>
        <w:t xml:space="preserve"> и вътрешни актове на дружеството</w:t>
      </w:r>
      <w:r w:rsidRPr="00716193">
        <w:rPr>
          <w:rStyle w:val="FootnoteReference"/>
          <w:rFonts w:ascii="Times New Roman" w:hAnsi="Times New Roman" w:cs="Times New Roman"/>
          <w:lang w:val="bg-BG"/>
        </w:rPr>
        <w:footnoteReference w:id="137"/>
      </w:r>
      <w:r w:rsidRPr="00716193">
        <w:rPr>
          <w:rFonts w:ascii="Times New Roman" w:hAnsi="Times New Roman" w:cs="Times New Roman"/>
          <w:lang w:val="bg-BG"/>
        </w:rPr>
        <w:t xml:space="preserve"> е регламентиран </w:t>
      </w:r>
      <w:r w:rsidR="00D84A1A" w:rsidRPr="00716193">
        <w:rPr>
          <w:rFonts w:ascii="Times New Roman" w:hAnsi="Times New Roman" w:cs="Times New Roman"/>
          <w:lang w:val="bg-BG"/>
        </w:rPr>
        <w:t>редът</w:t>
      </w:r>
      <w:r w:rsidRPr="00716193">
        <w:rPr>
          <w:rFonts w:ascii="Times New Roman" w:hAnsi="Times New Roman" w:cs="Times New Roman"/>
          <w:lang w:val="bg-BG"/>
        </w:rPr>
        <w:t xml:space="preserve"> за сключване на договори с работници и служители на търговските дружества за предоставяне под наем на жилища</w:t>
      </w:r>
      <w:r w:rsidR="00C80A32" w:rsidRPr="00716193">
        <w:rPr>
          <w:rFonts w:ascii="Times New Roman" w:hAnsi="Times New Roman" w:cs="Times New Roman"/>
          <w:lang w:val="bg-BG"/>
        </w:rPr>
        <w:t>,</w:t>
      </w:r>
      <w:r w:rsidR="0081680A" w:rsidRPr="00716193">
        <w:rPr>
          <w:rFonts w:ascii="Times New Roman" w:hAnsi="Times New Roman" w:cs="Times New Roman"/>
          <w:lang w:val="bg-BG"/>
        </w:rPr>
        <w:t xml:space="preserve"> </w:t>
      </w:r>
      <w:r w:rsidR="00C80A32" w:rsidRPr="00716193">
        <w:rPr>
          <w:rFonts w:ascii="Times New Roman" w:hAnsi="Times New Roman" w:cs="Times New Roman"/>
          <w:lang w:val="bg-BG"/>
        </w:rPr>
        <w:t xml:space="preserve">като се </w:t>
      </w:r>
      <w:r w:rsidRPr="00716193">
        <w:rPr>
          <w:rFonts w:ascii="Times New Roman" w:hAnsi="Times New Roman" w:cs="Times New Roman"/>
          <w:lang w:val="bg-BG"/>
        </w:rPr>
        <w:t xml:space="preserve">изисква наличие на заповед за настаняване, издадена от изпълнителния директор или от председателя на Съвета на директорите. В </w:t>
      </w:r>
      <w:r w:rsidR="004C22DA" w:rsidRPr="00716193">
        <w:rPr>
          <w:rFonts w:ascii="Times New Roman" w:hAnsi="Times New Roman" w:cs="Times New Roman"/>
          <w:lang w:val="bg-BG"/>
        </w:rPr>
        <w:br/>
      </w:r>
      <w:r w:rsidRPr="00716193">
        <w:rPr>
          <w:rFonts w:ascii="Times New Roman" w:hAnsi="Times New Roman" w:cs="Times New Roman"/>
          <w:lang w:val="bg-BG"/>
        </w:rPr>
        <w:t xml:space="preserve">чл. 35, ал. 1 от </w:t>
      </w:r>
      <w:r w:rsidRPr="00716193">
        <w:rPr>
          <w:rFonts w:ascii="Times New Roman" w:hAnsi="Times New Roman" w:cs="Times New Roman"/>
          <w:bCs/>
          <w:lang w:val="bg-BG"/>
        </w:rPr>
        <w:t>В</w:t>
      </w:r>
      <w:r w:rsidRPr="00716193">
        <w:rPr>
          <w:rFonts w:ascii="Times New Roman" w:hAnsi="Times New Roman" w:cs="Times New Roman"/>
          <w:lang w:val="bg-BG"/>
        </w:rPr>
        <w:t>ътрешните правила за организация на работната заплата в „</w:t>
      </w:r>
      <w:r w:rsidR="004D39B9" w:rsidRPr="00716193">
        <w:rPr>
          <w:rFonts w:ascii="Times New Roman" w:hAnsi="Times New Roman" w:cs="Times New Roman"/>
          <w:lang w:val="bg-BG"/>
        </w:rPr>
        <w:t>НСБ</w:t>
      </w:r>
      <w:r w:rsidRPr="00716193">
        <w:rPr>
          <w:rFonts w:ascii="Times New Roman" w:hAnsi="Times New Roman" w:cs="Times New Roman"/>
          <w:lang w:val="bg-BG"/>
        </w:rPr>
        <w:t>“ ЕАД</w:t>
      </w:r>
      <w:r w:rsidR="00430D68" w:rsidRPr="00716193">
        <w:rPr>
          <w:rFonts w:ascii="Times New Roman" w:hAnsi="Times New Roman" w:cs="Times New Roman"/>
          <w:bCs/>
          <w:lang w:val="bg-BG"/>
        </w:rPr>
        <w:t xml:space="preserve">, в сила от </w:t>
      </w:r>
      <w:r w:rsidR="0081680A" w:rsidRPr="00716193">
        <w:rPr>
          <w:rFonts w:ascii="Times New Roman" w:hAnsi="Times New Roman" w:cs="Times New Roman"/>
          <w:bCs/>
          <w:lang w:val="bg-BG"/>
        </w:rPr>
        <w:t>2</w:t>
      </w:r>
      <w:r w:rsidR="00430D68" w:rsidRPr="00716193">
        <w:rPr>
          <w:rFonts w:ascii="Times New Roman" w:hAnsi="Times New Roman" w:cs="Times New Roman"/>
          <w:bCs/>
          <w:lang w:val="bg-BG"/>
        </w:rPr>
        <w:t>0.08.2013 г.</w:t>
      </w:r>
      <w:r w:rsidRPr="00716193">
        <w:rPr>
          <w:rFonts w:ascii="Times New Roman" w:hAnsi="Times New Roman" w:cs="Times New Roman"/>
          <w:lang w:val="bg-BG"/>
        </w:rPr>
        <w:t>, са определени изисквания за представяне на информация от съответния служител на дружеството -  молба, служебна бележка, от която е видно, че служителят работи на постоянен трудов договор в дружеството</w:t>
      </w:r>
      <w:r w:rsidR="00FD349B" w:rsidRPr="00716193">
        <w:rPr>
          <w:rFonts w:ascii="Times New Roman" w:hAnsi="Times New Roman" w:cs="Times New Roman"/>
          <w:lang w:val="bg-BG"/>
        </w:rPr>
        <w:t>,</w:t>
      </w:r>
      <w:r w:rsidRPr="00716193">
        <w:rPr>
          <w:rFonts w:ascii="Times New Roman" w:hAnsi="Times New Roman" w:cs="Times New Roman"/>
          <w:lang w:val="bg-BG"/>
        </w:rPr>
        <w:t xml:space="preserve"> и декларация, че няма на свое име друго жилище на територията на град София, въз основа на които изпълнителният директор може да издаде заповед за настаняване на лицето.</w:t>
      </w:r>
    </w:p>
    <w:p w:rsidR="005D13CE" w:rsidRPr="00716193" w:rsidRDefault="005D13CE" w:rsidP="005D13CE">
      <w:pPr>
        <w:pStyle w:val="ListParagraph"/>
        <w:ind w:left="0" w:firstLine="709"/>
        <w:jc w:val="both"/>
        <w:rPr>
          <w:rFonts w:ascii="Times New Roman" w:hAnsi="Times New Roman" w:cs="Times New Roman"/>
          <w:lang w:val="bg-BG"/>
        </w:rPr>
      </w:pPr>
      <w:r w:rsidRPr="00716193">
        <w:rPr>
          <w:rFonts w:ascii="Times New Roman" w:hAnsi="Times New Roman" w:cs="Times New Roman"/>
          <w:lang w:val="bg-BG"/>
        </w:rPr>
        <w:lastRenderedPageBreak/>
        <w:t xml:space="preserve">От извършената проверка на 5 досиета на сключените през одитирания период </w:t>
      </w:r>
      <w:r w:rsidRPr="00716193">
        <w:rPr>
          <w:rStyle w:val="Strong"/>
          <w:rFonts w:ascii="Times New Roman" w:hAnsi="Times New Roman" w:cs="Times New Roman"/>
          <w:b w:val="0"/>
          <w:lang w:val="bg-BG"/>
        </w:rPr>
        <w:t>със служители договори за предоставяне под наем на жилища, собственост на дружеството</w:t>
      </w:r>
      <w:r w:rsidRPr="00716193">
        <w:rPr>
          <w:rFonts w:ascii="Times New Roman" w:hAnsi="Times New Roman" w:cs="Times New Roman"/>
          <w:lang w:val="bg-BG"/>
        </w:rPr>
        <w:t>, е установ</w:t>
      </w:r>
      <w:r w:rsidR="00C80A32" w:rsidRPr="00716193">
        <w:rPr>
          <w:rFonts w:ascii="Times New Roman" w:hAnsi="Times New Roman" w:cs="Times New Roman"/>
          <w:lang w:val="bg-BG"/>
        </w:rPr>
        <w:t>ено</w:t>
      </w:r>
      <w:r w:rsidRPr="00716193">
        <w:rPr>
          <w:rFonts w:ascii="Times New Roman" w:hAnsi="Times New Roman" w:cs="Times New Roman"/>
          <w:lang w:val="bg-BG"/>
        </w:rPr>
        <w:t xml:space="preserve">, че договорите са сключени в съответствие с </w:t>
      </w:r>
      <w:r w:rsidR="00B70FA3" w:rsidRPr="00716193">
        <w:rPr>
          <w:rFonts w:ascii="Times New Roman" w:hAnsi="Times New Roman" w:cs="Times New Roman"/>
          <w:lang w:val="bg-BG"/>
        </w:rPr>
        <w:t>правната уредба</w:t>
      </w:r>
      <w:r w:rsidRPr="00716193">
        <w:rPr>
          <w:rFonts w:ascii="Times New Roman" w:hAnsi="Times New Roman" w:cs="Times New Roman"/>
          <w:lang w:val="bg-BG"/>
        </w:rPr>
        <w:t>.</w:t>
      </w:r>
      <w:r w:rsidRPr="00716193">
        <w:rPr>
          <w:rStyle w:val="FootnoteReference"/>
          <w:rFonts w:ascii="Times New Roman" w:hAnsi="Times New Roman" w:cs="Times New Roman"/>
          <w:lang w:val="bg-BG"/>
        </w:rPr>
        <w:footnoteReference w:id="138"/>
      </w:r>
    </w:p>
    <w:p w:rsidR="00A607C7" w:rsidRPr="00716193" w:rsidRDefault="00A607C7" w:rsidP="005D13CE">
      <w:pPr>
        <w:pStyle w:val="ListParagraph"/>
        <w:ind w:left="0" w:firstLine="709"/>
        <w:jc w:val="both"/>
        <w:rPr>
          <w:rFonts w:ascii="Times New Roman" w:hAnsi="Times New Roman" w:cs="Times New Roman"/>
          <w:lang w:val="bg-BG"/>
        </w:rPr>
      </w:pPr>
    </w:p>
    <w:p w:rsidR="00F9312F" w:rsidRPr="00716193" w:rsidRDefault="00F9312F" w:rsidP="00F9312F">
      <w:pPr>
        <w:pStyle w:val="NoSpacing"/>
        <w:jc w:val="both"/>
        <w:rPr>
          <w:rStyle w:val="Strong"/>
          <w:b w:val="0"/>
          <w:i/>
        </w:rPr>
      </w:pPr>
      <w:r w:rsidRPr="00716193">
        <w:rPr>
          <w:b/>
        </w:rPr>
        <w:tab/>
      </w:r>
      <w:r w:rsidR="005D13CE" w:rsidRPr="00716193">
        <w:rPr>
          <w:b/>
        </w:rPr>
        <w:t>1.4.</w:t>
      </w:r>
      <w:r w:rsidR="005D13CE" w:rsidRPr="00716193">
        <w:t xml:space="preserve"> </w:t>
      </w:r>
      <w:r w:rsidRPr="00716193">
        <w:rPr>
          <w:b/>
        </w:rPr>
        <w:t>Сключване на договори за наем на ДМА</w:t>
      </w:r>
      <w:r w:rsidRPr="00716193">
        <w:t xml:space="preserve"> </w:t>
      </w:r>
      <w:r w:rsidRPr="00716193">
        <w:rPr>
          <w:rStyle w:val="Strong"/>
        </w:rPr>
        <w:t>без спазване на реда за отдаване под наем по реда на ПРУПДТДДУК</w:t>
      </w:r>
    </w:p>
    <w:p w:rsidR="005D13CE" w:rsidRPr="00716193" w:rsidRDefault="00190485" w:rsidP="005D13CE">
      <w:pPr>
        <w:pStyle w:val="ListParagraph"/>
        <w:ind w:left="0" w:firstLine="709"/>
        <w:jc w:val="both"/>
        <w:rPr>
          <w:rStyle w:val="Strong"/>
          <w:rFonts w:ascii="Times New Roman" w:hAnsi="Times New Roman" w:cs="Times New Roman"/>
          <w:lang w:val="bg-BG"/>
        </w:rPr>
      </w:pPr>
      <w:r w:rsidRPr="00716193">
        <w:rPr>
          <w:rFonts w:ascii="Times New Roman" w:hAnsi="Times New Roman" w:cs="Times New Roman"/>
          <w:lang w:val="bg-BG"/>
        </w:rPr>
        <w:t>У</w:t>
      </w:r>
      <w:r w:rsidR="005D13CE" w:rsidRPr="00716193">
        <w:rPr>
          <w:rFonts w:ascii="Times New Roman" w:hAnsi="Times New Roman" w:cs="Times New Roman"/>
          <w:lang w:val="bg-BG"/>
        </w:rPr>
        <w:t>станов</w:t>
      </w:r>
      <w:r w:rsidRPr="00716193">
        <w:rPr>
          <w:rFonts w:ascii="Times New Roman" w:hAnsi="Times New Roman" w:cs="Times New Roman"/>
          <w:lang w:val="bg-BG"/>
        </w:rPr>
        <w:t>ено е</w:t>
      </w:r>
      <w:r w:rsidR="005D13CE" w:rsidRPr="00716193">
        <w:rPr>
          <w:rFonts w:ascii="Times New Roman" w:hAnsi="Times New Roman" w:cs="Times New Roman"/>
          <w:lang w:val="bg-BG"/>
        </w:rPr>
        <w:t xml:space="preserve">, че </w:t>
      </w:r>
      <w:r w:rsidR="005D13CE" w:rsidRPr="00716193">
        <w:rPr>
          <w:rStyle w:val="Strong"/>
          <w:rFonts w:ascii="Times New Roman" w:hAnsi="Times New Roman" w:cs="Times New Roman"/>
          <w:b w:val="0"/>
          <w:lang w:val="bg-BG"/>
        </w:rPr>
        <w:t>8 от проверените договор</w:t>
      </w:r>
      <w:r w:rsidR="00D12DD0" w:rsidRPr="00716193">
        <w:rPr>
          <w:rStyle w:val="Strong"/>
          <w:rFonts w:ascii="Times New Roman" w:hAnsi="Times New Roman" w:cs="Times New Roman"/>
          <w:b w:val="0"/>
          <w:lang w:val="bg-BG"/>
        </w:rPr>
        <w:t>и</w:t>
      </w:r>
      <w:r w:rsidR="005D13CE" w:rsidRPr="00716193">
        <w:rPr>
          <w:rStyle w:val="Strong"/>
          <w:rFonts w:ascii="Times New Roman" w:hAnsi="Times New Roman" w:cs="Times New Roman"/>
          <w:b w:val="0"/>
          <w:lang w:val="bg-BG"/>
        </w:rPr>
        <w:t xml:space="preserve"> са сключени без спазване на </w:t>
      </w:r>
      <w:r w:rsidRPr="00716193">
        <w:rPr>
          <w:rStyle w:val="Strong"/>
          <w:rFonts w:ascii="Times New Roman" w:hAnsi="Times New Roman" w:cs="Times New Roman"/>
          <w:b w:val="0"/>
          <w:lang w:val="bg-BG"/>
        </w:rPr>
        <w:t xml:space="preserve">приложимия </w:t>
      </w:r>
      <w:r w:rsidR="005D13CE" w:rsidRPr="00716193">
        <w:rPr>
          <w:rStyle w:val="Strong"/>
          <w:rFonts w:ascii="Times New Roman" w:hAnsi="Times New Roman" w:cs="Times New Roman"/>
          <w:b w:val="0"/>
          <w:lang w:val="bg-BG"/>
        </w:rPr>
        <w:t>ред за отдаване под наем на ПРУПДТДДУК:</w:t>
      </w:r>
    </w:p>
    <w:p w:rsidR="005D13CE" w:rsidRPr="00716193" w:rsidRDefault="005D13CE" w:rsidP="005D13CE">
      <w:pPr>
        <w:pStyle w:val="ListParagraph"/>
        <w:ind w:left="0" w:firstLine="709"/>
        <w:jc w:val="both"/>
        <w:rPr>
          <w:rFonts w:ascii="Times New Roman" w:hAnsi="Times New Roman" w:cs="Times New Roman"/>
          <w:lang w:val="bg-BG"/>
        </w:rPr>
      </w:pPr>
      <w:r w:rsidRPr="00716193">
        <w:rPr>
          <w:rStyle w:val="Strong"/>
          <w:rFonts w:ascii="Times New Roman" w:hAnsi="Times New Roman" w:cs="Times New Roman"/>
          <w:lang w:val="bg-BG"/>
        </w:rPr>
        <w:t>1.</w:t>
      </w:r>
      <w:r w:rsidRPr="00716193">
        <w:rPr>
          <w:rFonts w:ascii="Times New Roman" w:hAnsi="Times New Roman" w:cs="Times New Roman"/>
          <w:b/>
          <w:lang w:val="bg-BG"/>
        </w:rPr>
        <w:t>4.1.</w:t>
      </w:r>
      <w:r w:rsidRPr="00716193">
        <w:rPr>
          <w:rFonts w:ascii="Times New Roman" w:hAnsi="Times New Roman" w:cs="Times New Roman"/>
          <w:lang w:val="bg-BG"/>
        </w:rPr>
        <w:t xml:space="preserve"> Договор № 14-1191-2 от 01.06.2014 г. за ползване на ДМА, собственост на </w:t>
      </w:r>
      <w:r w:rsidR="000D7766" w:rsidRPr="00716193">
        <w:rPr>
          <w:rFonts w:ascii="Times New Roman" w:hAnsi="Times New Roman" w:cs="Times New Roman"/>
          <w:lang w:val="bg-BG"/>
        </w:rPr>
        <w:t>„</w:t>
      </w:r>
      <w:r w:rsidRPr="00716193">
        <w:rPr>
          <w:rFonts w:ascii="Times New Roman" w:hAnsi="Times New Roman" w:cs="Times New Roman"/>
          <w:lang w:val="bg-BG"/>
        </w:rPr>
        <w:t>НСБ</w:t>
      </w:r>
      <w:r w:rsidR="000D7766" w:rsidRPr="00716193">
        <w:rPr>
          <w:rFonts w:ascii="Times New Roman" w:hAnsi="Times New Roman" w:cs="Times New Roman"/>
          <w:lang w:val="bg-BG"/>
        </w:rPr>
        <w:t>“</w:t>
      </w:r>
      <w:r w:rsidRPr="00716193">
        <w:rPr>
          <w:rFonts w:ascii="Times New Roman" w:hAnsi="Times New Roman" w:cs="Times New Roman"/>
          <w:lang w:val="bg-BG"/>
        </w:rPr>
        <w:t xml:space="preserve"> ЕАД, а именно Билетна каса с площ от 23 кв.м., находяща се в Столичен Колодрум „Сердика“, за срок 3 години - до 01.06.2017 г., с „Феар Трейд“ ООД;</w:t>
      </w:r>
      <w:r w:rsidRPr="00716193">
        <w:rPr>
          <w:rStyle w:val="FootnoteReference"/>
          <w:rFonts w:ascii="Times New Roman" w:hAnsi="Times New Roman" w:cs="Times New Roman"/>
          <w:lang w:val="bg-BG"/>
        </w:rPr>
        <w:footnoteReference w:id="139"/>
      </w:r>
    </w:p>
    <w:p w:rsidR="005D13CE" w:rsidRPr="00716193" w:rsidRDefault="005D13CE" w:rsidP="005D13CE">
      <w:pPr>
        <w:pStyle w:val="ListParagraph"/>
        <w:ind w:left="0" w:firstLine="709"/>
        <w:jc w:val="both"/>
        <w:rPr>
          <w:rFonts w:ascii="Times New Roman" w:hAnsi="Times New Roman" w:cs="Times New Roman"/>
          <w:lang w:val="bg-BG"/>
        </w:rPr>
      </w:pPr>
      <w:r w:rsidRPr="00716193">
        <w:rPr>
          <w:rFonts w:ascii="Times New Roman" w:hAnsi="Times New Roman" w:cs="Times New Roman"/>
          <w:b/>
          <w:lang w:val="bg-BG"/>
        </w:rPr>
        <w:t>1.4.2.</w:t>
      </w:r>
      <w:r w:rsidRPr="00716193">
        <w:rPr>
          <w:rFonts w:ascii="Times New Roman" w:hAnsi="Times New Roman" w:cs="Times New Roman"/>
          <w:lang w:val="bg-BG"/>
        </w:rPr>
        <w:t xml:space="preserve"> Договор № 14-000-9872 от 07.05.2014 г. за отдаване под наем на ДМА, собственост на </w:t>
      </w:r>
      <w:r w:rsidR="000D7766" w:rsidRPr="00716193">
        <w:rPr>
          <w:rFonts w:ascii="Times New Roman" w:hAnsi="Times New Roman" w:cs="Times New Roman"/>
          <w:lang w:val="bg-BG"/>
        </w:rPr>
        <w:t>„</w:t>
      </w:r>
      <w:r w:rsidRPr="00716193">
        <w:rPr>
          <w:rFonts w:ascii="Times New Roman" w:hAnsi="Times New Roman" w:cs="Times New Roman"/>
          <w:lang w:val="bg-BG"/>
        </w:rPr>
        <w:t>НСБ</w:t>
      </w:r>
      <w:r w:rsidR="000D7766" w:rsidRPr="00716193">
        <w:rPr>
          <w:rFonts w:ascii="Times New Roman" w:hAnsi="Times New Roman" w:cs="Times New Roman"/>
          <w:lang w:val="bg-BG"/>
        </w:rPr>
        <w:t>“</w:t>
      </w:r>
      <w:r w:rsidRPr="00716193">
        <w:rPr>
          <w:rFonts w:ascii="Times New Roman" w:hAnsi="Times New Roman" w:cs="Times New Roman"/>
          <w:lang w:val="bg-BG"/>
        </w:rPr>
        <w:t xml:space="preserve"> ЕАД, а именно: игрище за бейзбол заедно с трибуни и обслужваща сграда</w:t>
      </w:r>
      <w:r w:rsidR="004D39B9" w:rsidRPr="00716193">
        <w:rPr>
          <w:rFonts w:ascii="Times New Roman" w:hAnsi="Times New Roman" w:cs="Times New Roman"/>
          <w:lang w:val="bg-BG"/>
        </w:rPr>
        <w:t>,</w:t>
      </w:r>
      <w:r w:rsidRPr="00716193">
        <w:rPr>
          <w:rFonts w:ascii="Times New Roman" w:hAnsi="Times New Roman" w:cs="Times New Roman"/>
          <w:lang w:val="bg-BG"/>
        </w:rPr>
        <w:t xml:space="preserve"> с обща площ от 8 961 кв.м., находящо се в близост до сградата на „Национален център по борба, вдигане на тежести и джудо“ в НСК „Диана“, гр. София, със</w:t>
      </w:r>
      <w:r w:rsidR="00430D68" w:rsidRPr="00716193">
        <w:rPr>
          <w:rFonts w:ascii="Times New Roman" w:hAnsi="Times New Roman" w:cs="Times New Roman"/>
          <w:lang w:val="bg-BG"/>
        </w:rPr>
        <w:t xml:space="preserve"> </w:t>
      </w:r>
      <w:r w:rsidRPr="00716193">
        <w:rPr>
          <w:rFonts w:ascii="Times New Roman" w:hAnsi="Times New Roman" w:cs="Times New Roman"/>
          <w:lang w:val="bg-BG"/>
        </w:rPr>
        <w:t>Сдружение „Българска федерация по бейзбол“</w:t>
      </w:r>
      <w:r w:rsidR="008A4A59" w:rsidRPr="00716193">
        <w:rPr>
          <w:rFonts w:ascii="Times New Roman" w:hAnsi="Times New Roman" w:cs="Times New Roman"/>
          <w:lang w:val="bg-BG"/>
        </w:rPr>
        <w:t xml:space="preserve">, </w:t>
      </w:r>
      <w:r w:rsidR="008263B7" w:rsidRPr="00716193">
        <w:rPr>
          <w:rFonts w:ascii="Times New Roman" w:hAnsi="Times New Roman" w:cs="Times New Roman"/>
          <w:lang w:val="bg-BG"/>
        </w:rPr>
        <w:t xml:space="preserve">е сключен </w:t>
      </w:r>
      <w:r w:rsidR="008A4A59" w:rsidRPr="00716193">
        <w:rPr>
          <w:rFonts w:ascii="Times New Roman" w:hAnsi="Times New Roman" w:cs="Times New Roman"/>
          <w:lang w:val="bg-BG"/>
        </w:rPr>
        <w:t>без спазване на реда за отдаване под наем, предвиден в</w:t>
      </w:r>
      <w:r w:rsidR="008A4A59" w:rsidRPr="00716193">
        <w:rPr>
          <w:rStyle w:val="Strong"/>
          <w:rFonts w:ascii="Times New Roman" w:hAnsi="Times New Roman" w:cs="Times New Roman"/>
          <w:b w:val="0"/>
          <w:lang w:val="bg-BG"/>
        </w:rPr>
        <w:t xml:space="preserve"> ПРУПДТДДУК</w:t>
      </w:r>
      <w:r w:rsidRPr="00716193">
        <w:rPr>
          <w:rFonts w:ascii="Times New Roman" w:hAnsi="Times New Roman" w:cs="Times New Roman"/>
          <w:lang w:val="bg-BG"/>
        </w:rPr>
        <w:t>. Съгласно договора, същият влиза в сила от 01.05.2014 г. и се сключва до провеждане на тръжна/конкурсна процедура за отдаване под наем, но за не повече от една година, считано от 01.05.2014 г. Установ</w:t>
      </w:r>
      <w:r w:rsidR="00190485" w:rsidRPr="00716193">
        <w:rPr>
          <w:rFonts w:ascii="Times New Roman" w:hAnsi="Times New Roman" w:cs="Times New Roman"/>
          <w:lang w:val="bg-BG"/>
        </w:rPr>
        <w:t>ено</w:t>
      </w:r>
      <w:r w:rsidRPr="00716193">
        <w:rPr>
          <w:rFonts w:ascii="Times New Roman" w:hAnsi="Times New Roman" w:cs="Times New Roman"/>
          <w:lang w:val="bg-BG"/>
        </w:rPr>
        <w:t xml:space="preserve"> е, че към момента на сключване на договора, определената начална наемна цена от лицензирания оценител </w:t>
      </w:r>
      <w:r w:rsidRPr="00716193">
        <w:rPr>
          <w:rFonts w:ascii="Times New Roman" w:hAnsi="Times New Roman" w:cs="Times New Roman"/>
          <w:spacing w:val="-2"/>
          <w:lang w:val="bg-BG"/>
        </w:rPr>
        <w:t xml:space="preserve">не е валидна, съгласно определения срок в Доклада за експертна оценка за определяне на справедливата пазарна стойност на наема на </w:t>
      </w:r>
      <w:r w:rsidR="004D39B9" w:rsidRPr="00716193">
        <w:rPr>
          <w:rFonts w:ascii="Times New Roman" w:hAnsi="Times New Roman" w:cs="Times New Roman"/>
          <w:spacing w:val="-2"/>
          <w:lang w:val="bg-BG"/>
        </w:rPr>
        <w:t>игрище за бейзбол, част от</w:t>
      </w:r>
      <w:r w:rsidRPr="00716193">
        <w:rPr>
          <w:rFonts w:ascii="Times New Roman" w:hAnsi="Times New Roman" w:cs="Times New Roman"/>
          <w:spacing w:val="-2"/>
          <w:lang w:val="bg-BG"/>
        </w:rPr>
        <w:t xml:space="preserve"> НСК „Диана“;</w:t>
      </w:r>
      <w:r w:rsidRPr="00716193">
        <w:rPr>
          <w:rStyle w:val="FootnoteReference"/>
          <w:rFonts w:ascii="Times New Roman" w:hAnsi="Times New Roman" w:cs="Times New Roman"/>
          <w:spacing w:val="-2"/>
          <w:lang w:val="bg-BG"/>
        </w:rPr>
        <w:footnoteReference w:id="140"/>
      </w:r>
    </w:p>
    <w:p w:rsidR="005D13CE" w:rsidRPr="00716193" w:rsidRDefault="005D13CE" w:rsidP="005D13CE">
      <w:pPr>
        <w:pStyle w:val="NoSpacing"/>
        <w:jc w:val="both"/>
        <w:rPr>
          <w:color w:val="000000"/>
        </w:rPr>
      </w:pPr>
      <w:r w:rsidRPr="00716193">
        <w:tab/>
      </w:r>
      <w:r w:rsidRPr="00716193">
        <w:rPr>
          <w:b/>
        </w:rPr>
        <w:t>1.4.3.</w:t>
      </w:r>
      <w:r w:rsidRPr="00716193">
        <w:t xml:space="preserve"> Договор № 14-925-1 от 01.09.2014 г. за отдаване под наем на ДМА, собственост на </w:t>
      </w:r>
      <w:r w:rsidR="000D7766" w:rsidRPr="00716193">
        <w:t>„</w:t>
      </w:r>
      <w:r w:rsidRPr="00716193">
        <w:t>НСБ</w:t>
      </w:r>
      <w:r w:rsidR="000D7766" w:rsidRPr="00716193">
        <w:t>“</w:t>
      </w:r>
      <w:r w:rsidRPr="00716193">
        <w:t xml:space="preserve"> ЕАД: Зала № 7, разположена на сектор „Б“, с площ 261 кв.м. и сервизни помещения към залата с площ 148 кв.м., всички с обща площ за отдаване под наем на обекта - 409 кв.м., находящи се в гр. София, бул. „Евлоги и Христо Георгиеви“ </w:t>
      </w:r>
      <w:r w:rsidR="00E67D54" w:rsidRPr="00716193">
        <w:br/>
      </w:r>
      <w:r w:rsidRPr="00716193">
        <w:t>№ 38, на територията на НС „Васил Левски“, със Сдружение „Фехтовален клуб Витоша“. Съгласно договора,</w:t>
      </w:r>
      <w:r w:rsidRPr="00716193">
        <w:rPr>
          <w:color w:val="000000"/>
        </w:rPr>
        <w:t xml:space="preserve"> същият има срок на действие до провеждането на процедура по чл. 17 от ПРУПДТДДУК за отдаване на имота под наем;</w:t>
      </w:r>
      <w:r w:rsidRPr="00716193">
        <w:rPr>
          <w:rStyle w:val="FootnoteReference"/>
          <w:color w:val="000000"/>
        </w:rPr>
        <w:footnoteReference w:id="141"/>
      </w:r>
    </w:p>
    <w:p w:rsidR="005D13CE" w:rsidRPr="00716193" w:rsidRDefault="005D13CE" w:rsidP="005D13CE">
      <w:pPr>
        <w:pStyle w:val="NoSpacing"/>
        <w:jc w:val="both"/>
      </w:pPr>
      <w:r w:rsidRPr="00716193">
        <w:rPr>
          <w:color w:val="000000"/>
        </w:rPr>
        <w:tab/>
      </w:r>
      <w:r w:rsidRPr="00716193">
        <w:rPr>
          <w:b/>
          <w:color w:val="000000"/>
        </w:rPr>
        <w:t>1.4.4.</w:t>
      </w:r>
      <w:r w:rsidRPr="00716193">
        <w:rPr>
          <w:color w:val="000000"/>
        </w:rPr>
        <w:t xml:space="preserve">  </w:t>
      </w:r>
      <w:r w:rsidRPr="00716193">
        <w:t xml:space="preserve">Договор № 14-358-2 от 31.07.2014 г. за отдаване под наем на ДМА, собственост на </w:t>
      </w:r>
      <w:r w:rsidR="000D7766" w:rsidRPr="00716193">
        <w:t>„</w:t>
      </w:r>
      <w:r w:rsidRPr="00716193">
        <w:t>НСБ</w:t>
      </w:r>
      <w:r w:rsidR="000D7766" w:rsidRPr="00716193">
        <w:t>“</w:t>
      </w:r>
      <w:r w:rsidR="00D77556" w:rsidRPr="00716193">
        <w:t xml:space="preserve"> ЕАД</w:t>
      </w:r>
      <w:r w:rsidRPr="00716193">
        <w:t>: спортна зала 3-Б с площ от 176 кв.м., в</w:t>
      </w:r>
      <w:r w:rsidR="00D77556" w:rsidRPr="00716193">
        <w:t xml:space="preserve">едно с прилежащи помещения, </w:t>
      </w:r>
      <w:r w:rsidRPr="00716193">
        <w:t>с площ от 125 кв.м., разположена на сектор „Б“ на НС „Васил Левски“, със Сдружение „Спортен клуб Актив спорт“. Срокът на договора е една година;</w:t>
      </w:r>
      <w:r w:rsidRPr="00716193">
        <w:rPr>
          <w:rStyle w:val="FootnoteReference"/>
        </w:rPr>
        <w:footnoteReference w:id="142"/>
      </w:r>
    </w:p>
    <w:p w:rsidR="005D13CE" w:rsidRPr="00716193" w:rsidRDefault="005D13CE" w:rsidP="005D13CE">
      <w:pPr>
        <w:pStyle w:val="NoSpacing"/>
        <w:jc w:val="both"/>
      </w:pPr>
      <w:r w:rsidRPr="00716193">
        <w:tab/>
      </w:r>
      <w:r w:rsidRPr="00716193">
        <w:rPr>
          <w:b/>
        </w:rPr>
        <w:t>1.4.5.</w:t>
      </w:r>
      <w:r w:rsidRPr="00716193">
        <w:t xml:space="preserve"> Договор № 14-1236-2 от 09.06.2014 г. за отдаване под наем на ДМА, собственост на </w:t>
      </w:r>
      <w:r w:rsidR="000D7766" w:rsidRPr="00716193">
        <w:t>„</w:t>
      </w:r>
      <w:r w:rsidRPr="00716193">
        <w:t>НСБ</w:t>
      </w:r>
      <w:r w:rsidR="000D7766" w:rsidRPr="00716193">
        <w:t>“</w:t>
      </w:r>
      <w:r w:rsidRPr="00716193">
        <w:t xml:space="preserve"> ЕАД, находящи се в гр. София, бул. „Евлоги Георгиев“ № 38, НС „Васил Левски“, а именно: открита лекоатлетическа писта около футболното</w:t>
      </w:r>
      <w:r w:rsidR="00D77556" w:rsidRPr="00716193">
        <w:t xml:space="preserve"> поле с площ от 10 820 кв.м., </w:t>
      </w:r>
      <w:r w:rsidRPr="00716193">
        <w:t>ползва се в периодите 01.03.2014 г. до 30.11.2014 г.; закрита леко</w:t>
      </w:r>
      <w:r w:rsidR="00D77556" w:rsidRPr="00716193">
        <w:t>-</w:t>
      </w:r>
      <w:r w:rsidRPr="00716193">
        <w:t>атлетическа писта, находяща се на сектор „Г“</w:t>
      </w:r>
      <w:r w:rsidR="00E32BA9">
        <w:t xml:space="preserve"> </w:t>
      </w:r>
      <w:r w:rsidRPr="00716193">
        <w:t xml:space="preserve">- трето последно ниво с площ от </w:t>
      </w:r>
      <w:r w:rsidR="00430D68" w:rsidRPr="00716193">
        <w:br/>
      </w:r>
      <w:r w:rsidRPr="00716193">
        <w:t>2 462 кв. м</w:t>
      </w:r>
      <w:r w:rsidR="00F546F7" w:rsidRPr="00716193">
        <w:t>.</w:t>
      </w:r>
      <w:r w:rsidR="00D77556" w:rsidRPr="00716193">
        <w:t>, ведно с обслужващи помещения</w:t>
      </w:r>
      <w:r w:rsidRPr="00716193">
        <w:t xml:space="preserve"> </w:t>
      </w:r>
      <w:r w:rsidR="00D77556" w:rsidRPr="00716193">
        <w:t>(</w:t>
      </w:r>
      <w:r w:rsidRPr="00716193">
        <w:t>с площ от 106,45 кв. м. и 98,13 кв. м.</w:t>
      </w:r>
      <w:r w:rsidR="00D77556" w:rsidRPr="00716193">
        <w:t>)</w:t>
      </w:r>
      <w:r w:rsidRPr="00716193">
        <w:t xml:space="preserve"> и санитарни помещения, </w:t>
      </w:r>
      <w:r w:rsidR="004D39B9" w:rsidRPr="00716193">
        <w:t xml:space="preserve">ползва се </w:t>
      </w:r>
      <w:r w:rsidRPr="00716193">
        <w:t xml:space="preserve">от 01.12.2014 г. до 31.12.2014 г.; склад в сектор „Г“ – трето ниво с площ от 48 кв. м., </w:t>
      </w:r>
      <w:r w:rsidR="004D39B9" w:rsidRPr="00716193">
        <w:t>за ползване от</w:t>
      </w:r>
      <w:r w:rsidRPr="00716193">
        <w:t xml:space="preserve"> 01.03.2014</w:t>
      </w:r>
      <w:r w:rsidR="00F546F7" w:rsidRPr="00716193">
        <w:t xml:space="preserve"> г. до 31.12.2014 г.; </w:t>
      </w:r>
      <w:r w:rsidRPr="00716193">
        <w:t>склад в сектор „Г“ на първо ниво, с площ от</w:t>
      </w:r>
      <w:r w:rsidR="00F546F7" w:rsidRPr="00716193">
        <w:t xml:space="preserve"> </w:t>
      </w:r>
      <w:r w:rsidRPr="00716193">
        <w:t xml:space="preserve">6,49 кв. м., използва се </w:t>
      </w:r>
      <w:r w:rsidR="004D39B9" w:rsidRPr="00716193">
        <w:t>от</w:t>
      </w:r>
      <w:r w:rsidRPr="00716193">
        <w:t xml:space="preserve"> 01.03.2014 г. до 31.12.2014 г.; спортна зала № 3-Г и сервизно помещение, с обща площ от 157,36 кв.м., използва се в периода 01.03.2014 </w:t>
      </w:r>
      <w:r w:rsidRPr="00716193">
        <w:lastRenderedPageBreak/>
        <w:t>г. до 31.12.2014 г; помещение за времеизмерване Финал – сектор „А“, VI-то, после</w:t>
      </w:r>
      <w:r w:rsidR="00F546F7" w:rsidRPr="00716193">
        <w:t>дно ниво, с площ от 180 кв. м.,</w:t>
      </w:r>
      <w:r w:rsidRPr="00716193">
        <w:t xml:space="preserve"> използва се в периода 01.03.2014 г. до 31.12.2014 г., със Сдружение „Българска федерация по лека атлетика – сдружение с нестопанска цел в обществена полза“. Срокът на договора е една година;</w:t>
      </w:r>
      <w:r w:rsidRPr="00716193">
        <w:rPr>
          <w:rStyle w:val="FootnoteReference"/>
        </w:rPr>
        <w:footnoteReference w:id="143"/>
      </w:r>
      <w:r w:rsidRPr="00716193">
        <w:t xml:space="preserve"> </w:t>
      </w:r>
    </w:p>
    <w:p w:rsidR="005D13CE" w:rsidRPr="00716193" w:rsidRDefault="005D13CE" w:rsidP="005D13CE">
      <w:pPr>
        <w:pStyle w:val="NoSpacing"/>
        <w:jc w:val="both"/>
      </w:pPr>
      <w:r w:rsidRPr="00716193">
        <w:tab/>
      </w:r>
      <w:r w:rsidRPr="00716193">
        <w:rPr>
          <w:b/>
        </w:rPr>
        <w:t>1.4.6.</w:t>
      </w:r>
      <w:r w:rsidRPr="00716193">
        <w:t xml:space="preserve"> Договор № 14-172-1 от 30.10.2014 г. за отдаване под наем на ДМА, собственост на </w:t>
      </w:r>
      <w:r w:rsidR="000D7766" w:rsidRPr="00716193">
        <w:t>„</w:t>
      </w:r>
      <w:r w:rsidRPr="00716193">
        <w:t>НСБ</w:t>
      </w:r>
      <w:r w:rsidR="000D7766" w:rsidRPr="00716193">
        <w:t>“</w:t>
      </w:r>
      <w:r w:rsidRPr="00716193">
        <w:t xml:space="preserve"> ЕАД, находящ се в „Национален център по борба и вдигане на тежести“ с обща площ от 297 кв.м., а именно: зала с площ от 232 кв.м., треньорска стая, съблекални и коридор с обща площ от 65 кв.м., със Сдружение „Български стрелкови съюз“. Срокът на договора е една година;</w:t>
      </w:r>
      <w:r w:rsidRPr="00716193">
        <w:rPr>
          <w:rStyle w:val="FootnoteReference"/>
        </w:rPr>
        <w:footnoteReference w:id="144"/>
      </w:r>
    </w:p>
    <w:p w:rsidR="005D13CE" w:rsidRPr="00716193" w:rsidRDefault="005D13CE" w:rsidP="005D13CE">
      <w:pPr>
        <w:pStyle w:val="NoSpacing"/>
        <w:jc w:val="both"/>
      </w:pPr>
      <w:r w:rsidRPr="00716193">
        <w:tab/>
      </w:r>
      <w:r w:rsidRPr="00716193">
        <w:rPr>
          <w:b/>
        </w:rPr>
        <w:t>1.4.7.</w:t>
      </w:r>
      <w:r w:rsidRPr="00716193">
        <w:t xml:space="preserve"> Договор № 14-1618-1 от 14.08.2014 г. за ползване на ДМА, собственост на </w:t>
      </w:r>
      <w:r w:rsidR="000D7766" w:rsidRPr="00716193">
        <w:t>„</w:t>
      </w:r>
      <w:r w:rsidRPr="00716193">
        <w:t>НСБ</w:t>
      </w:r>
      <w:r w:rsidR="000D7766" w:rsidRPr="00716193">
        <w:t>“</w:t>
      </w:r>
      <w:r w:rsidRPr="00716193">
        <w:t xml:space="preserve"> ЕАД, находящ се в сектор „А“ на НС „Васил Левски“, а именно: тренировъчна зала за баскетбол, с обща площ от 630,5 кв. м., с „Б</w:t>
      </w:r>
      <w:r w:rsidR="00D77556" w:rsidRPr="00716193">
        <w:t>аскетболен клуб Буба Баскетбол“, като</w:t>
      </w:r>
      <w:r w:rsidRPr="00716193">
        <w:t xml:space="preserve"> залата ще се ползва по 4 часа на ден за срок от една година, считано от 15.08.2014 г.;</w:t>
      </w:r>
      <w:r w:rsidRPr="00716193">
        <w:rPr>
          <w:rStyle w:val="FootnoteReference"/>
        </w:rPr>
        <w:footnoteReference w:id="145"/>
      </w:r>
    </w:p>
    <w:p w:rsidR="005D13CE" w:rsidRPr="00716193" w:rsidRDefault="005D13CE" w:rsidP="005D13CE">
      <w:pPr>
        <w:pStyle w:val="NoSpacing"/>
        <w:ind w:firstLine="708"/>
        <w:jc w:val="both"/>
      </w:pPr>
      <w:r w:rsidRPr="00716193">
        <w:rPr>
          <w:b/>
        </w:rPr>
        <w:t>1.4.8.</w:t>
      </w:r>
      <w:r w:rsidRPr="00716193">
        <w:t xml:space="preserve"> Договор № 14-1847-1 от 17.09.2014 г. за ползване на ДМА, собственост на </w:t>
      </w:r>
      <w:r w:rsidR="000D7766" w:rsidRPr="00716193">
        <w:t>„</w:t>
      </w:r>
      <w:r w:rsidRPr="00716193">
        <w:t>НСБ</w:t>
      </w:r>
      <w:r w:rsidR="000D7766" w:rsidRPr="00716193">
        <w:t>“</w:t>
      </w:r>
      <w:r w:rsidRPr="00716193">
        <w:t xml:space="preserve"> ЕАД, а именно: помещение на НС „Васил Левски“ с площ от</w:t>
      </w:r>
      <w:r w:rsidR="00F546F7" w:rsidRPr="00716193">
        <w:t xml:space="preserve"> </w:t>
      </w:r>
      <w:r w:rsidRPr="00716193">
        <w:t>42 кв. м., находящо се в сектор „Б“, ниво 3, със Сдружение „Българска Национална Федерация Карате“. Съгласно договора, помещението ще се ползва от 18 до 20 ч. всеки ден, за периода от 17.09.2014 г. до 31.12.2014 г.</w:t>
      </w:r>
      <w:r w:rsidRPr="00716193">
        <w:rPr>
          <w:rStyle w:val="FootnoteReference"/>
        </w:rPr>
        <w:footnoteReference w:id="146"/>
      </w:r>
    </w:p>
    <w:p w:rsidR="005D13CE" w:rsidRPr="00716193" w:rsidRDefault="005D13CE" w:rsidP="005D13CE">
      <w:pPr>
        <w:pStyle w:val="NoSpacing"/>
        <w:jc w:val="both"/>
        <w:rPr>
          <w:color w:val="000000"/>
        </w:rPr>
      </w:pPr>
      <w:r w:rsidRPr="00716193">
        <w:tab/>
        <w:t>Видно от посочените договори от т. 1.4.3. до т. 1.4.8.</w:t>
      </w:r>
      <w:r w:rsidR="000D53BF" w:rsidRPr="00716193">
        <w:t xml:space="preserve"> включително</w:t>
      </w:r>
      <w:r w:rsidRPr="00716193">
        <w:t>, същите са сключени със спортни клубове, съюз и федерации, които фигурират в регистъра на юридическите лица с нестопанска цел за осъществяване на общественополезна дейност. Срокът по договорите е до 1 година, макар и в някои случаи отдаването на актива под наем да е почасово в рамките на този срок (тази възможност е регламентирана в чл. 3 на РИ 01-01 на Системата, в сила от 20.08.201</w:t>
      </w:r>
      <w:r w:rsidR="00B66415" w:rsidRPr="00716193">
        <w:t xml:space="preserve">3 </w:t>
      </w:r>
      <w:r w:rsidRPr="00716193">
        <w:t xml:space="preserve">г.), или изрично е посочено до </w:t>
      </w:r>
      <w:r w:rsidRPr="00716193">
        <w:rPr>
          <w:color w:val="000000"/>
        </w:rPr>
        <w:t xml:space="preserve">провеждането на процедура по чл. 17 от ПРУПДТДДУК, а отдаваните под наем или ползваните ДМА са спортни обекти и съоръжения. </w:t>
      </w:r>
      <w:r w:rsidRPr="00716193">
        <w:t xml:space="preserve">Налице са условия за прилагането на чл. 17, ал. 2 и ал. 3 от </w:t>
      </w:r>
      <w:r w:rsidRPr="00716193">
        <w:rPr>
          <w:color w:val="000000"/>
        </w:rPr>
        <w:t>ПРУПДТДДУК, т.е. сключването на договорите е следвало да се извърши чрез пряко договаряне по реда на цитираната норма. Последното предполага наличие на разрешение от едноличния собственик на капитала и определяне на наемна цена от лицензиран оценител, които не са осигурени за посочените договори.</w:t>
      </w:r>
    </w:p>
    <w:p w:rsidR="005D13CE" w:rsidRPr="00716193" w:rsidRDefault="005D13CE" w:rsidP="005D13CE">
      <w:pPr>
        <w:pStyle w:val="NoSpacing"/>
        <w:jc w:val="both"/>
      </w:pPr>
      <w:r w:rsidRPr="00716193">
        <w:tab/>
        <w:t>В отдел „Правен“</w:t>
      </w:r>
      <w:r w:rsidR="009D1F70" w:rsidRPr="00716193">
        <w:t>,</w:t>
      </w:r>
      <w:r w:rsidRPr="00716193">
        <w:t xml:space="preserve"> </w:t>
      </w:r>
      <w:r w:rsidR="000E7058" w:rsidRPr="00716193">
        <w:t>съгласно функционалната характеристика на отдела</w:t>
      </w:r>
      <w:r w:rsidR="009D1F70" w:rsidRPr="00716193">
        <w:t>,</w:t>
      </w:r>
      <w:r w:rsidR="000E7058" w:rsidRPr="00716193">
        <w:t xml:space="preserve"> би следвало да се поддържа регистър на сключените договори. Установено е, че </w:t>
      </w:r>
      <w:r w:rsidRPr="00716193">
        <w:t>се поддържа регистър на действащи</w:t>
      </w:r>
      <w:r w:rsidR="000E7058" w:rsidRPr="00716193">
        <w:t>те</w:t>
      </w:r>
      <w:r w:rsidRPr="00716193">
        <w:t xml:space="preserve"> договори за наем по съответните бази на </w:t>
      </w:r>
      <w:r w:rsidR="007A1BB9" w:rsidRPr="00716193">
        <w:t>„</w:t>
      </w:r>
      <w:r w:rsidRPr="00716193">
        <w:t>НСБ</w:t>
      </w:r>
      <w:r w:rsidR="007A1BB9" w:rsidRPr="00716193">
        <w:t>“</w:t>
      </w:r>
      <w:r w:rsidRPr="00716193">
        <w:t xml:space="preserve"> ЕАД, в</w:t>
      </w:r>
      <w:r w:rsidR="009D1F70" w:rsidRPr="00716193">
        <w:t>ъв</w:t>
      </w:r>
      <w:r w:rsidR="006036AF" w:rsidRPr="00716193">
        <w:t xml:space="preserve"> </w:t>
      </w:r>
      <w:r w:rsidRPr="00716193">
        <w:t xml:space="preserve">формат, </w:t>
      </w:r>
      <w:r w:rsidR="006B32AE">
        <w:t xml:space="preserve">който </w:t>
      </w:r>
      <w:r w:rsidRPr="00716193">
        <w:t>не</w:t>
      </w:r>
      <w:r w:rsidR="006B32AE">
        <w:t xml:space="preserve"> </w:t>
      </w:r>
      <w:r w:rsidRPr="00716193">
        <w:t>позволява хронологично проследяване на вече изтекли или прекратени договори за наем.</w:t>
      </w:r>
      <w:r w:rsidRPr="00716193">
        <w:rPr>
          <w:rStyle w:val="FootnoteReference"/>
        </w:rPr>
        <w:footnoteReference w:id="147"/>
      </w:r>
    </w:p>
    <w:p w:rsidR="005D13CE" w:rsidRPr="00716193" w:rsidRDefault="005D13CE" w:rsidP="005D13CE">
      <w:pPr>
        <w:pStyle w:val="NoSpacing"/>
        <w:jc w:val="both"/>
        <w:rPr>
          <w:i/>
        </w:rPr>
      </w:pPr>
      <w:r w:rsidRPr="00716193">
        <w:rPr>
          <w:color w:val="000000"/>
        </w:rPr>
        <w:tab/>
      </w:r>
      <w:r w:rsidRPr="00716193">
        <w:rPr>
          <w:i/>
          <w:color w:val="000000"/>
        </w:rPr>
        <w:t xml:space="preserve">Не е извършван ежегоден анализ на възможностите за отдаване под наем на активи на </w:t>
      </w:r>
      <w:r w:rsidR="007A1BB9" w:rsidRPr="00716193">
        <w:rPr>
          <w:i/>
          <w:color w:val="000000"/>
        </w:rPr>
        <w:t>„</w:t>
      </w:r>
      <w:r w:rsidRPr="00716193">
        <w:rPr>
          <w:i/>
          <w:color w:val="000000"/>
        </w:rPr>
        <w:t>НСБ</w:t>
      </w:r>
      <w:r w:rsidR="007A1BB9" w:rsidRPr="00716193">
        <w:rPr>
          <w:i/>
          <w:color w:val="000000"/>
        </w:rPr>
        <w:t>“</w:t>
      </w:r>
      <w:r w:rsidRPr="00716193">
        <w:rPr>
          <w:i/>
          <w:color w:val="000000"/>
        </w:rPr>
        <w:t xml:space="preserve"> ЕАД, както и предварителен контрол </w:t>
      </w:r>
      <w:r w:rsidRPr="00716193">
        <w:rPr>
          <w:i/>
        </w:rPr>
        <w:t xml:space="preserve">по процедурите за отдаване под наем, в несъответствие с изискването на </w:t>
      </w:r>
      <w:r w:rsidR="00B45EC6" w:rsidRPr="00716193">
        <w:rPr>
          <w:i/>
        </w:rPr>
        <w:t>вътрешен акт</w:t>
      </w:r>
      <w:r w:rsidRPr="00716193">
        <w:rPr>
          <w:bCs/>
          <w:i/>
        </w:rPr>
        <w:t>,</w:t>
      </w:r>
      <w:r w:rsidRPr="00716193">
        <w:rPr>
          <w:i/>
        </w:rPr>
        <w:t xml:space="preserve"> което предпоставя и реализира риска от незаконосъобразни действия във връзка с</w:t>
      </w:r>
      <w:r w:rsidR="00FC5ACB" w:rsidRPr="00716193">
        <w:rPr>
          <w:i/>
        </w:rPr>
        <w:t>ъс спазване на регламентирания ред</w:t>
      </w:r>
      <w:r w:rsidR="008263B7" w:rsidRPr="00716193">
        <w:rPr>
          <w:i/>
        </w:rPr>
        <w:t xml:space="preserve"> </w:t>
      </w:r>
      <w:r w:rsidRPr="00716193">
        <w:rPr>
          <w:i/>
        </w:rPr>
        <w:t>за сключване на договори за наем на активи на дружеството през одитирания период.</w:t>
      </w:r>
    </w:p>
    <w:p w:rsidR="005D13CE" w:rsidRPr="00716193" w:rsidRDefault="005D13CE" w:rsidP="005D13CE">
      <w:pPr>
        <w:pStyle w:val="NoSpacing"/>
        <w:jc w:val="both"/>
        <w:rPr>
          <w:i/>
        </w:rPr>
      </w:pPr>
      <w:r w:rsidRPr="00716193">
        <w:rPr>
          <w:i/>
        </w:rPr>
        <w:tab/>
        <w:t xml:space="preserve"> </w:t>
      </w:r>
      <w:r w:rsidR="003E5257" w:rsidRPr="00716193">
        <w:rPr>
          <w:i/>
        </w:rPr>
        <w:t xml:space="preserve">Действащите </w:t>
      </w:r>
      <w:r w:rsidR="00352E75" w:rsidRPr="00716193">
        <w:rPr>
          <w:i/>
        </w:rPr>
        <w:t xml:space="preserve">през одитирания период </w:t>
      </w:r>
      <w:r w:rsidR="0077734A" w:rsidRPr="00716193">
        <w:rPr>
          <w:i/>
        </w:rPr>
        <w:t>в</w:t>
      </w:r>
      <w:r w:rsidR="003E5257" w:rsidRPr="00716193">
        <w:rPr>
          <w:i/>
        </w:rPr>
        <w:t xml:space="preserve">ътрешни </w:t>
      </w:r>
      <w:r w:rsidR="00352E75" w:rsidRPr="00716193">
        <w:rPr>
          <w:i/>
        </w:rPr>
        <w:t>правила</w:t>
      </w:r>
      <w:r w:rsidR="003E5257" w:rsidRPr="00716193">
        <w:rPr>
          <w:i/>
        </w:rPr>
        <w:t xml:space="preserve"> </w:t>
      </w:r>
      <w:r w:rsidRPr="00716193">
        <w:rPr>
          <w:bCs/>
          <w:i/>
        </w:rPr>
        <w:t>не регламентира</w:t>
      </w:r>
      <w:r w:rsidR="0077734A" w:rsidRPr="00716193">
        <w:rPr>
          <w:bCs/>
          <w:i/>
        </w:rPr>
        <w:t>т</w:t>
      </w:r>
      <w:r w:rsidRPr="00716193">
        <w:rPr>
          <w:bCs/>
          <w:i/>
        </w:rPr>
        <w:t xml:space="preserve"> конкретни задължения във връзка с предварителния и текущ контрол на процедурите за отдаване под наем на активи на дружеството.</w:t>
      </w:r>
    </w:p>
    <w:p w:rsidR="005901F1" w:rsidRPr="00716193" w:rsidRDefault="005D13CE" w:rsidP="005D13CE">
      <w:pPr>
        <w:pStyle w:val="NoSpacing"/>
        <w:jc w:val="both"/>
        <w:rPr>
          <w:rStyle w:val="Strong"/>
          <w:b w:val="0"/>
          <w:i/>
        </w:rPr>
      </w:pPr>
      <w:r w:rsidRPr="00716193">
        <w:rPr>
          <w:color w:val="000000"/>
        </w:rPr>
        <w:lastRenderedPageBreak/>
        <w:tab/>
      </w:r>
      <w:r w:rsidRPr="00716193">
        <w:rPr>
          <w:i/>
          <w:color w:val="000000"/>
        </w:rPr>
        <w:t xml:space="preserve">Сключването на договори за наем в резултат на провеждане на търг с тайно наддаване е в съответствие с изискванията на </w:t>
      </w:r>
      <w:r w:rsidRPr="00716193">
        <w:rPr>
          <w:rStyle w:val="Strong"/>
          <w:b w:val="0"/>
          <w:i/>
        </w:rPr>
        <w:t>ПРУПДТДДУК и вътрешните актове, с изключение на констатираните</w:t>
      </w:r>
      <w:r w:rsidR="0031427C" w:rsidRPr="00716193">
        <w:rPr>
          <w:rStyle w:val="Strong"/>
          <w:b w:val="0"/>
          <w:i/>
        </w:rPr>
        <w:t xml:space="preserve"> съществени</w:t>
      </w:r>
      <w:r w:rsidRPr="00716193">
        <w:rPr>
          <w:rStyle w:val="Strong"/>
          <w:b w:val="0"/>
          <w:i/>
        </w:rPr>
        <w:t xml:space="preserve"> несъответствия</w:t>
      </w:r>
      <w:r w:rsidR="0031427C" w:rsidRPr="00716193">
        <w:rPr>
          <w:rStyle w:val="Strong"/>
          <w:b w:val="0"/>
          <w:i/>
        </w:rPr>
        <w:t>, свързани с неспазване на съгласувателни процедури, липса на изискуема информация в решения на търговеца и заповедите за назнача</w:t>
      </w:r>
      <w:r w:rsidR="00D5139C" w:rsidRPr="00716193">
        <w:rPr>
          <w:rStyle w:val="Strong"/>
          <w:b w:val="0"/>
          <w:i/>
        </w:rPr>
        <w:t>ване на комисия</w:t>
      </w:r>
      <w:r w:rsidRPr="00716193">
        <w:rPr>
          <w:rStyle w:val="Strong"/>
          <w:b w:val="0"/>
          <w:i/>
        </w:rPr>
        <w:t>.</w:t>
      </w:r>
    </w:p>
    <w:p w:rsidR="005D13CE" w:rsidRPr="00716193" w:rsidRDefault="005901F1" w:rsidP="005D13CE">
      <w:pPr>
        <w:pStyle w:val="NoSpacing"/>
        <w:jc w:val="both"/>
        <w:rPr>
          <w:i/>
          <w:color w:val="000000"/>
        </w:rPr>
      </w:pPr>
      <w:r w:rsidRPr="00716193">
        <w:rPr>
          <w:rStyle w:val="Strong"/>
          <w:b w:val="0"/>
          <w:i/>
        </w:rPr>
        <w:tab/>
        <w:t xml:space="preserve">Сключването на договори със служители за предоставяне под наем на жилища, собственост на дружеството, е в съответствие с </w:t>
      </w:r>
      <w:r w:rsidR="00077AF0" w:rsidRPr="00716193">
        <w:rPr>
          <w:rStyle w:val="Strong"/>
          <w:b w:val="0"/>
          <w:i/>
        </w:rPr>
        <w:t xml:space="preserve">нормативните </w:t>
      </w:r>
      <w:r w:rsidRPr="00716193">
        <w:rPr>
          <w:i/>
          <w:color w:val="000000"/>
        </w:rPr>
        <w:t>изисквания</w:t>
      </w:r>
      <w:r w:rsidRPr="00716193">
        <w:rPr>
          <w:rStyle w:val="Strong"/>
          <w:b w:val="0"/>
          <w:i/>
        </w:rPr>
        <w:t xml:space="preserve">. </w:t>
      </w:r>
      <w:r w:rsidR="005D13CE" w:rsidRPr="00716193">
        <w:rPr>
          <w:i/>
          <w:color w:val="000000"/>
        </w:rPr>
        <w:t xml:space="preserve"> </w:t>
      </w:r>
    </w:p>
    <w:p w:rsidR="005D13CE" w:rsidRPr="00716193" w:rsidRDefault="005D13CE" w:rsidP="005D13CE">
      <w:pPr>
        <w:pStyle w:val="NoSpacing"/>
        <w:jc w:val="both"/>
        <w:rPr>
          <w:rStyle w:val="Strong"/>
          <w:b w:val="0"/>
          <w:i/>
        </w:rPr>
      </w:pPr>
      <w:r w:rsidRPr="00716193">
        <w:rPr>
          <w:color w:val="000000"/>
        </w:rPr>
        <w:tab/>
      </w:r>
      <w:r w:rsidRPr="00716193">
        <w:rPr>
          <w:i/>
          <w:color w:val="000000"/>
        </w:rPr>
        <w:t xml:space="preserve">В нарушение на чл. 17 от </w:t>
      </w:r>
      <w:r w:rsidRPr="00716193">
        <w:rPr>
          <w:rStyle w:val="Strong"/>
          <w:b w:val="0"/>
          <w:i/>
        </w:rPr>
        <w:t>ПРУПДТДДУК и вътрешните актове,</w:t>
      </w:r>
      <w:r w:rsidRPr="00716193">
        <w:rPr>
          <w:rStyle w:val="Strong"/>
          <w:i/>
        </w:rPr>
        <w:t xml:space="preserve"> </w:t>
      </w:r>
      <w:r w:rsidRPr="00716193">
        <w:rPr>
          <w:i/>
        </w:rPr>
        <w:t>е допуснато сключването на договор, съгласно който наемната цена е по-ниска от определената от лицензиран оценител начална наемна цена, както и сключването на договор без разрешение на едноличния собственик на капитала за част от наетия ДМА.</w:t>
      </w:r>
    </w:p>
    <w:p w:rsidR="00B118A4" w:rsidRPr="00716193" w:rsidRDefault="005D13CE" w:rsidP="00B118A4">
      <w:pPr>
        <w:pStyle w:val="NoSpacing"/>
        <w:jc w:val="both"/>
        <w:rPr>
          <w:rStyle w:val="Strong"/>
          <w:b w:val="0"/>
          <w:i/>
        </w:rPr>
      </w:pPr>
      <w:r w:rsidRPr="00716193">
        <w:rPr>
          <w:rStyle w:val="Strong"/>
        </w:rPr>
        <w:tab/>
      </w:r>
      <w:r w:rsidRPr="00716193">
        <w:rPr>
          <w:rStyle w:val="Strong"/>
          <w:b w:val="0"/>
          <w:i/>
        </w:rPr>
        <w:t>Сключени са договор</w:t>
      </w:r>
      <w:r w:rsidR="002C00B0" w:rsidRPr="00716193">
        <w:rPr>
          <w:rStyle w:val="Strong"/>
          <w:b w:val="0"/>
          <w:i/>
        </w:rPr>
        <w:t>и за наем на ДМА</w:t>
      </w:r>
      <w:r w:rsidRPr="00716193">
        <w:rPr>
          <w:rStyle w:val="Strong"/>
          <w:b w:val="0"/>
          <w:i/>
        </w:rPr>
        <w:t xml:space="preserve"> без спазване на реда за отдаване под наем</w:t>
      </w:r>
      <w:r w:rsidR="00137644" w:rsidRPr="00716193">
        <w:rPr>
          <w:rStyle w:val="Strong"/>
          <w:b w:val="0"/>
          <w:i/>
        </w:rPr>
        <w:t>, предвиден в</w:t>
      </w:r>
      <w:r w:rsidR="004336EF" w:rsidRPr="00716193">
        <w:rPr>
          <w:rStyle w:val="Strong"/>
          <w:b w:val="0"/>
          <w:i/>
        </w:rPr>
        <w:t xml:space="preserve"> </w:t>
      </w:r>
      <w:r w:rsidRPr="00716193">
        <w:rPr>
          <w:rStyle w:val="Strong"/>
          <w:b w:val="0"/>
          <w:i/>
        </w:rPr>
        <w:t>ПРУПДТДДУК.</w:t>
      </w:r>
    </w:p>
    <w:p w:rsidR="00A468E6" w:rsidRPr="00716193" w:rsidRDefault="00D77556" w:rsidP="00B118A4">
      <w:pPr>
        <w:pStyle w:val="NoSpacing"/>
        <w:jc w:val="both"/>
        <w:rPr>
          <w:rStyle w:val="Strong"/>
          <w:b w:val="0"/>
          <w:i/>
        </w:rPr>
      </w:pPr>
      <w:r w:rsidRPr="00716193">
        <w:rPr>
          <w:rStyle w:val="Strong"/>
          <w:b w:val="0"/>
          <w:i/>
        </w:rPr>
        <w:tab/>
      </w:r>
      <w:r w:rsidR="004D39B9" w:rsidRPr="00716193">
        <w:rPr>
          <w:i/>
        </w:rPr>
        <w:t xml:space="preserve">Състоянието на СФУК в изследваната област не е добро и същата не е ефективна, тъй като през одитирания период липсват достатъчни и адекватни контроли, които да предотвратят </w:t>
      </w:r>
      <w:r w:rsidR="006B32AE">
        <w:rPr>
          <w:i/>
        </w:rPr>
        <w:t xml:space="preserve">установените </w:t>
      </w:r>
      <w:r w:rsidR="004D39B9" w:rsidRPr="00716193">
        <w:rPr>
          <w:i/>
        </w:rPr>
        <w:t>несъответствия в изследваната област.</w:t>
      </w:r>
    </w:p>
    <w:p w:rsidR="00D77556" w:rsidRPr="00716193" w:rsidRDefault="00D77556" w:rsidP="00B118A4">
      <w:pPr>
        <w:pStyle w:val="NoSpacing"/>
        <w:jc w:val="both"/>
        <w:rPr>
          <w:rStyle w:val="Strong"/>
          <w:b w:val="0"/>
          <w:i/>
        </w:rPr>
      </w:pPr>
    </w:p>
    <w:p w:rsidR="005D13CE" w:rsidRPr="00716193" w:rsidRDefault="00B118A4" w:rsidP="00B118A4">
      <w:pPr>
        <w:pStyle w:val="NoSpacing"/>
        <w:jc w:val="both"/>
        <w:rPr>
          <w:bCs/>
          <w:i/>
        </w:rPr>
      </w:pPr>
      <w:r w:rsidRPr="00716193">
        <w:rPr>
          <w:rStyle w:val="Strong"/>
          <w:b w:val="0"/>
          <w:i/>
        </w:rPr>
        <w:tab/>
      </w:r>
      <w:r w:rsidRPr="00716193">
        <w:rPr>
          <w:rStyle w:val="Strong"/>
        </w:rPr>
        <w:t>2.</w:t>
      </w:r>
      <w:r w:rsidRPr="00716193">
        <w:rPr>
          <w:rStyle w:val="Strong"/>
          <w:b w:val="0"/>
          <w:i/>
        </w:rPr>
        <w:t xml:space="preserve"> </w:t>
      </w:r>
      <w:r w:rsidR="005D13CE" w:rsidRPr="00716193">
        <w:rPr>
          <w:b/>
          <w:color w:val="000000"/>
        </w:rPr>
        <w:t>Приходи от наеми</w:t>
      </w:r>
    </w:p>
    <w:p w:rsidR="005D13CE" w:rsidRPr="00716193" w:rsidRDefault="005D13CE" w:rsidP="005D13CE">
      <w:pPr>
        <w:pStyle w:val="BodyText3"/>
        <w:spacing w:after="0"/>
        <w:ind w:firstLine="360"/>
        <w:jc w:val="both"/>
        <w:rPr>
          <w:rFonts w:ascii="Times New Roman" w:hAnsi="Times New Roman" w:cs="Times New Roman"/>
          <w:sz w:val="24"/>
          <w:szCs w:val="24"/>
        </w:rPr>
      </w:pPr>
      <w:r w:rsidRPr="00716193">
        <w:rPr>
          <w:rFonts w:ascii="Times New Roman" w:hAnsi="Times New Roman" w:cs="Times New Roman"/>
          <w:sz w:val="24"/>
          <w:szCs w:val="24"/>
        </w:rPr>
        <w:tab/>
        <w:t>Приходите от отдаване под наем на прилежащи помещения и площи и спортни съоръжения са с най-висок относителен дял от приходите от основната дейност на дружеството.</w:t>
      </w:r>
      <w:r w:rsidRPr="00716193">
        <w:rPr>
          <w:rStyle w:val="FootnoteReference"/>
          <w:rFonts w:ascii="Times New Roman" w:hAnsi="Times New Roman" w:cs="Times New Roman"/>
          <w:sz w:val="24"/>
          <w:szCs w:val="24"/>
        </w:rPr>
        <w:footnoteReference w:id="148"/>
      </w:r>
    </w:p>
    <w:p w:rsidR="005D13CE" w:rsidRPr="00716193" w:rsidRDefault="005D13CE" w:rsidP="005D13CE">
      <w:pPr>
        <w:pStyle w:val="ListParagraph1"/>
        <w:ind w:left="0" w:firstLine="720"/>
        <w:jc w:val="both"/>
        <w:rPr>
          <w:rFonts w:ascii="Times New Roman" w:hAnsi="Times New Roman" w:cs="Times New Roman"/>
        </w:rPr>
      </w:pPr>
      <w:r w:rsidRPr="00716193">
        <w:rPr>
          <w:rFonts w:ascii="Times New Roman" w:hAnsi="Times New Roman" w:cs="Times New Roman"/>
        </w:rPr>
        <w:t xml:space="preserve">Приходите от наеми са начислявани и са отчетени правилно по съответната счетоводна сметка </w:t>
      </w:r>
      <w:r w:rsidRPr="00716193">
        <w:rPr>
          <w:rFonts w:ascii="Times New Roman" w:hAnsi="Times New Roman" w:cs="Times New Roman"/>
          <w:color w:val="000000"/>
        </w:rPr>
        <w:t xml:space="preserve">703 „Приходи от продажби на услуги“ от Индивидуалния сметкоплан на </w:t>
      </w:r>
      <w:r w:rsidR="007A1BB9" w:rsidRPr="00716193">
        <w:rPr>
          <w:rFonts w:ascii="Times New Roman" w:hAnsi="Times New Roman" w:cs="Times New Roman"/>
          <w:color w:val="000000"/>
        </w:rPr>
        <w:t>„</w:t>
      </w:r>
      <w:r w:rsidRPr="00716193">
        <w:rPr>
          <w:rFonts w:ascii="Times New Roman" w:hAnsi="Times New Roman" w:cs="Times New Roman"/>
          <w:color w:val="000000"/>
        </w:rPr>
        <w:t>НСБ</w:t>
      </w:r>
      <w:r w:rsidR="007A1BB9" w:rsidRPr="00716193">
        <w:rPr>
          <w:rFonts w:ascii="Times New Roman" w:hAnsi="Times New Roman" w:cs="Times New Roman"/>
          <w:color w:val="000000"/>
        </w:rPr>
        <w:t>“</w:t>
      </w:r>
      <w:r w:rsidRPr="00716193">
        <w:rPr>
          <w:rFonts w:ascii="Times New Roman" w:hAnsi="Times New Roman" w:cs="Times New Roman"/>
          <w:color w:val="000000"/>
        </w:rPr>
        <w:t xml:space="preserve"> ЕАД.</w:t>
      </w:r>
      <w:r w:rsidRPr="00716193">
        <w:rPr>
          <w:rFonts w:ascii="Times New Roman" w:hAnsi="Times New Roman" w:cs="Times New Roman"/>
        </w:rPr>
        <w:t xml:space="preserve"> </w:t>
      </w:r>
    </w:p>
    <w:p w:rsidR="005D13CE" w:rsidRPr="00716193" w:rsidRDefault="005D13CE" w:rsidP="005D13CE">
      <w:pPr>
        <w:pStyle w:val="ListParagraph1"/>
        <w:ind w:left="0" w:firstLine="720"/>
        <w:jc w:val="both"/>
        <w:rPr>
          <w:rFonts w:ascii="Times New Roman" w:hAnsi="Times New Roman" w:cs="Times New Roman"/>
          <w:color w:val="000000"/>
        </w:rPr>
      </w:pPr>
      <w:r w:rsidRPr="00716193">
        <w:rPr>
          <w:rFonts w:ascii="Times New Roman" w:hAnsi="Times New Roman" w:cs="Times New Roman"/>
          <w:color w:val="000000"/>
        </w:rPr>
        <w:t>Към 31.12.2013 г. дружеството отчита приходи от наеми в размер на 4 936 хил. лв., а към 31.12.2014 г. – 4 062 хил. лв.</w:t>
      </w:r>
      <w:r w:rsidRPr="00716193">
        <w:rPr>
          <w:rStyle w:val="FootnoteReference"/>
          <w:rFonts w:ascii="Times New Roman" w:hAnsi="Times New Roman" w:cs="Times New Roman"/>
          <w:color w:val="000000"/>
        </w:rPr>
        <w:footnoteReference w:id="149"/>
      </w:r>
    </w:p>
    <w:p w:rsidR="005D13CE" w:rsidRPr="00716193" w:rsidRDefault="0002336D" w:rsidP="005D13CE">
      <w:pPr>
        <w:pStyle w:val="NoSpacing"/>
        <w:ind w:firstLine="709"/>
        <w:jc w:val="both"/>
        <w:rPr>
          <w:color w:val="000000"/>
        </w:rPr>
      </w:pPr>
      <w:r w:rsidRPr="00716193">
        <w:rPr>
          <w:color w:val="000000"/>
        </w:rPr>
        <w:t>И</w:t>
      </w:r>
      <w:r w:rsidR="005D13CE" w:rsidRPr="00716193">
        <w:rPr>
          <w:color w:val="000000"/>
        </w:rPr>
        <w:t>звърш</w:t>
      </w:r>
      <w:r w:rsidRPr="00716193">
        <w:rPr>
          <w:color w:val="000000"/>
        </w:rPr>
        <w:t>ена е</w:t>
      </w:r>
      <w:r w:rsidR="005D13CE" w:rsidRPr="00716193">
        <w:rPr>
          <w:color w:val="000000"/>
        </w:rPr>
        <w:t xml:space="preserve"> проверка на </w:t>
      </w:r>
      <w:r w:rsidR="005D13CE" w:rsidRPr="00716193">
        <w:t xml:space="preserve">45-те досиета на сключените през одитирания период </w:t>
      </w:r>
      <w:r w:rsidR="005D13CE" w:rsidRPr="00716193">
        <w:rPr>
          <w:color w:val="000000"/>
        </w:rPr>
        <w:t>договори, включени в извадката, във връзка с формирането и отчитането на приходите от наеми</w:t>
      </w:r>
      <w:r w:rsidRPr="00716193">
        <w:rPr>
          <w:color w:val="000000"/>
        </w:rPr>
        <w:t xml:space="preserve">, при която е установено, </w:t>
      </w:r>
      <w:r w:rsidR="005D13CE" w:rsidRPr="00716193">
        <w:rPr>
          <w:color w:val="000000"/>
        </w:rPr>
        <w:t>че:</w:t>
      </w:r>
    </w:p>
    <w:p w:rsidR="005D13CE" w:rsidRPr="00716193" w:rsidRDefault="005D13CE" w:rsidP="005D13CE">
      <w:pPr>
        <w:pStyle w:val="NoSpacing"/>
        <w:ind w:firstLine="709"/>
        <w:jc w:val="both"/>
        <w:rPr>
          <w:color w:val="000000"/>
        </w:rPr>
      </w:pPr>
      <w:r w:rsidRPr="00716193">
        <w:rPr>
          <w:b/>
          <w:color w:val="000000"/>
        </w:rPr>
        <w:t>2.1.</w:t>
      </w:r>
      <w:r w:rsidRPr="00716193">
        <w:rPr>
          <w:color w:val="000000"/>
        </w:rPr>
        <w:t xml:space="preserve"> По отношение на 39 от проверените 45 сключени договора за наем, плащанията на месечната наемна цена от наемателите са извършвани със забавяния спрямо договорените срокове.</w:t>
      </w:r>
      <w:r w:rsidRPr="00716193">
        <w:rPr>
          <w:rStyle w:val="FootnoteReference"/>
          <w:color w:val="000000"/>
        </w:rPr>
        <w:footnoteReference w:id="150"/>
      </w:r>
    </w:p>
    <w:p w:rsidR="005D13CE" w:rsidRPr="00716193" w:rsidRDefault="005D13CE" w:rsidP="005D13CE">
      <w:pPr>
        <w:pStyle w:val="NoSpacing"/>
        <w:ind w:firstLine="709"/>
        <w:jc w:val="both"/>
      </w:pPr>
      <w:r w:rsidRPr="00716193">
        <w:rPr>
          <w:b/>
          <w:color w:val="000000"/>
        </w:rPr>
        <w:t>2.2.</w:t>
      </w:r>
      <w:r w:rsidRPr="00716193">
        <w:rPr>
          <w:color w:val="000000"/>
        </w:rPr>
        <w:t xml:space="preserve"> В проверените договори за наем е включена клауза, съгласно която при забава на </w:t>
      </w:r>
      <w:r w:rsidRPr="00716193">
        <w:t xml:space="preserve">плащането на дължимия наем и консумативи, наемателят дължи неустойка (лихва) в размер на 0,1% за всеки просрочен ден. От </w:t>
      </w:r>
      <w:r w:rsidR="007A1BB9" w:rsidRPr="00716193">
        <w:t>„</w:t>
      </w:r>
      <w:r w:rsidRPr="00716193">
        <w:t>НСБ</w:t>
      </w:r>
      <w:r w:rsidR="007A1BB9" w:rsidRPr="00716193">
        <w:t>“</w:t>
      </w:r>
      <w:r w:rsidRPr="00716193">
        <w:t xml:space="preserve"> ЕАД, при установени забавяния </w:t>
      </w:r>
      <w:r w:rsidR="00907D1C" w:rsidRPr="00716193">
        <w:t>на</w:t>
      </w:r>
      <w:r w:rsidRPr="00716193">
        <w:t xml:space="preserve"> плащането на наемната цена, не са начислявани и събирани от наемателите неустойки (лихви), в несъответствие с договорените условия. Като причина, дружеството посочва липсата на специализиран софтуер, който автоматично да изчислява дължимите неустойки (лихви).</w:t>
      </w:r>
      <w:r w:rsidR="0057562F" w:rsidRPr="00716193">
        <w:t xml:space="preserve"> Лихви за забава на плащане се начисляват при предявяване на вземане по съдебен ред.</w:t>
      </w:r>
      <w:r w:rsidRPr="00716193">
        <w:rPr>
          <w:rStyle w:val="FootnoteReference"/>
        </w:rPr>
        <w:footnoteReference w:id="151"/>
      </w:r>
    </w:p>
    <w:p w:rsidR="0096494B" w:rsidRPr="00716193" w:rsidRDefault="0096494B" w:rsidP="005D13CE">
      <w:pPr>
        <w:pStyle w:val="NoSpacing"/>
        <w:ind w:firstLine="709"/>
        <w:jc w:val="both"/>
        <w:rPr>
          <w:i/>
          <w:lang w:val="en-US"/>
        </w:rPr>
      </w:pPr>
    </w:p>
    <w:p w:rsidR="005D13CE" w:rsidRPr="00716193" w:rsidRDefault="005D13CE" w:rsidP="005D13CE">
      <w:pPr>
        <w:pStyle w:val="NoSpacing"/>
        <w:ind w:firstLine="709"/>
        <w:jc w:val="both"/>
        <w:rPr>
          <w:i/>
          <w:color w:val="000000"/>
        </w:rPr>
      </w:pPr>
      <w:r w:rsidRPr="00716193">
        <w:rPr>
          <w:i/>
        </w:rPr>
        <w:t>Не са спазени договорените условия от наемателите относно срока на плащане на наемната цена, с малки изключения.</w:t>
      </w:r>
    </w:p>
    <w:p w:rsidR="005D13CE" w:rsidRPr="00716193" w:rsidRDefault="005D13CE" w:rsidP="005D13CE">
      <w:pPr>
        <w:pStyle w:val="NoSpacing"/>
        <w:ind w:firstLine="709"/>
        <w:jc w:val="both"/>
        <w:rPr>
          <w:i/>
          <w:color w:val="000000"/>
        </w:rPr>
      </w:pPr>
      <w:r w:rsidRPr="00716193">
        <w:rPr>
          <w:i/>
          <w:color w:val="000000"/>
        </w:rPr>
        <w:lastRenderedPageBreak/>
        <w:t xml:space="preserve">Не е осъществен контрол във връзка със забавянията при плащането на наемната цена, като не са начислявани </w:t>
      </w:r>
      <w:r w:rsidRPr="00716193">
        <w:rPr>
          <w:i/>
        </w:rPr>
        <w:t>неустойки (лихви), в несъответствие с договорените условия, с което дружеството реализира загуби и пропуснати ползи.</w:t>
      </w:r>
      <w:r w:rsidRPr="00716193">
        <w:rPr>
          <w:i/>
          <w:color w:val="000000"/>
        </w:rPr>
        <w:t xml:space="preserve"> </w:t>
      </w:r>
    </w:p>
    <w:p w:rsidR="005D13CE" w:rsidRPr="00716193" w:rsidRDefault="005D13CE" w:rsidP="005D13CE">
      <w:pPr>
        <w:pStyle w:val="NoSpacing"/>
        <w:jc w:val="both"/>
        <w:rPr>
          <w:i/>
          <w:color w:val="000000"/>
          <w:lang w:val="en-US"/>
        </w:rPr>
      </w:pPr>
    </w:p>
    <w:p w:rsidR="00575ED7" w:rsidRPr="00716193" w:rsidRDefault="00575ED7" w:rsidP="00575ED7">
      <w:pPr>
        <w:tabs>
          <w:tab w:val="right" w:pos="8982"/>
        </w:tabs>
        <w:ind w:left="567" w:firstLine="142"/>
        <w:rPr>
          <w:b/>
        </w:rPr>
      </w:pPr>
      <w:r w:rsidRPr="00716193">
        <w:rPr>
          <w:b/>
        </w:rPr>
        <w:t xml:space="preserve">ІІІ. Управленски решения, свързани с възлагане на обществени поръчки </w:t>
      </w:r>
    </w:p>
    <w:p w:rsidR="000C097A" w:rsidRPr="00716193" w:rsidRDefault="000C097A" w:rsidP="000C097A">
      <w:pPr>
        <w:tabs>
          <w:tab w:val="right" w:pos="8982"/>
        </w:tabs>
        <w:ind w:left="709"/>
        <w:jc w:val="both"/>
      </w:pPr>
      <w:r w:rsidRPr="00716193">
        <w:rPr>
          <w:b/>
        </w:rPr>
        <w:t xml:space="preserve">1. Обща информация </w:t>
      </w:r>
    </w:p>
    <w:p w:rsidR="000C097A" w:rsidRPr="00716193" w:rsidRDefault="000C097A" w:rsidP="000C097A">
      <w:pPr>
        <w:tabs>
          <w:tab w:val="left" w:pos="720"/>
        </w:tabs>
        <w:jc w:val="both"/>
      </w:pPr>
      <w:r w:rsidRPr="00716193">
        <w:rPr>
          <w:b/>
        </w:rPr>
        <w:tab/>
      </w:r>
      <w:r w:rsidRPr="00716193">
        <w:t>„НСБ“ ЕАД е възложител на обществени поръчки по смисъла на чл. 7, т. 3 от Закона за обществените поръчки, като публичноправна организация. През одитирания период обществените поръчки от името на дружеството са възлагани от изпълнителния директор, представляващ дружеството за съответния период, в качеството му на лице по чл. 8, ал. 3 от ЗОП. Други длъжностни лица не са упълномощавани да възлагат обществени поръчки на основание чл. 8, ал. 2 от ЗОП.</w:t>
      </w:r>
    </w:p>
    <w:p w:rsidR="000C097A" w:rsidRPr="00716193" w:rsidRDefault="000C097A" w:rsidP="000C097A">
      <w:pPr>
        <w:jc w:val="both"/>
      </w:pPr>
      <w:r w:rsidRPr="00716193">
        <w:tab/>
        <w:t>По информация на „НСБ“ ЕАД, за периода от 01.01.2013 г. до 31.12.2014 г. в дружеството са проведени общо 4 (четири)</w:t>
      </w:r>
      <w:r w:rsidRPr="00716193">
        <w:rPr>
          <w:rStyle w:val="FootnoteReference"/>
        </w:rPr>
        <w:footnoteReference w:id="152"/>
      </w:r>
      <w:r w:rsidRPr="00716193">
        <w:t xml:space="preserve"> открити процедури за възлагане на обществени поръчки на основание чл. 16, ал. 8 от ЗОП, като</w:t>
      </w:r>
      <w:r w:rsidRPr="00716193">
        <w:rPr>
          <w:lang w:val="en-US"/>
        </w:rPr>
        <w:t xml:space="preserve"> </w:t>
      </w:r>
      <w:r w:rsidRPr="00716193">
        <w:t>една е завършила със сключването на договор, а три са прекратени (три решения за прекратяване на основание чл. 39, ал. 1, т. 5 от ЗОП). При две от прекратените процедури са налице съдебни спорове, които са приключили със съдебно решение и които са изключени от обхвата на одитната задача.</w:t>
      </w:r>
      <w:r w:rsidRPr="00716193">
        <w:rPr>
          <w:rStyle w:val="FootnoteReference"/>
        </w:rPr>
        <w:t xml:space="preserve"> </w:t>
      </w:r>
      <w:r w:rsidRPr="00716193">
        <w:rPr>
          <w:rStyle w:val="FootnoteReference"/>
        </w:rPr>
        <w:footnoteReference w:id="153"/>
      </w:r>
    </w:p>
    <w:p w:rsidR="000C097A" w:rsidRPr="00716193" w:rsidRDefault="000C097A" w:rsidP="000C097A">
      <w:pPr>
        <w:ind w:firstLine="720"/>
        <w:jc w:val="both"/>
      </w:pPr>
      <w:r w:rsidRPr="00716193">
        <w:t>При направената съпоставка между броя на проведените в дружеството процедури по ЗОП и броя на обявените в обявените в Регистъра на обществените поръчки (РОП), не са установени разлики.</w:t>
      </w:r>
      <w:r w:rsidRPr="00716193">
        <w:rPr>
          <w:rStyle w:val="FootnoteReference"/>
        </w:rPr>
        <w:footnoteReference w:id="154"/>
      </w:r>
    </w:p>
    <w:p w:rsidR="000C097A" w:rsidRPr="00716193" w:rsidRDefault="000C097A" w:rsidP="000C097A">
      <w:pPr>
        <w:ind w:firstLine="720"/>
        <w:jc w:val="both"/>
      </w:pPr>
      <w:r w:rsidRPr="00716193">
        <w:t>Възложени са и 2 (две) обществени поръчки</w:t>
      </w:r>
      <w:r w:rsidRPr="00716193">
        <w:rPr>
          <w:rStyle w:val="FootnoteReference"/>
        </w:rPr>
        <w:footnoteReference w:id="155"/>
      </w:r>
      <w:r w:rsidRPr="00716193">
        <w:t xml:space="preserve"> ч</w:t>
      </w:r>
      <w:r w:rsidR="000D681E" w:rsidRPr="00716193">
        <w:t>рез публична покана по реда на г</w:t>
      </w:r>
      <w:r w:rsidRPr="00716193">
        <w:t>лава осма „а“ от същия закон.</w:t>
      </w:r>
    </w:p>
    <w:p w:rsidR="000C097A" w:rsidRPr="00716193" w:rsidRDefault="000C097A" w:rsidP="000C097A">
      <w:pPr>
        <w:ind w:firstLine="720"/>
        <w:jc w:val="both"/>
      </w:pPr>
      <w:r w:rsidRPr="00716193">
        <w:t>Броят на сключените договори за възлагане на обществени поръчки от дружеството през одитирания период е 6 (шест)</w:t>
      </w:r>
      <w:r w:rsidRPr="00716193">
        <w:rPr>
          <w:rStyle w:val="FootnoteReference"/>
        </w:rPr>
        <w:footnoteReference w:id="156"/>
      </w:r>
      <w:r w:rsidRPr="00716193">
        <w:t xml:space="preserve">, с обща стойност 612 453 лв., без ДДС, от които </w:t>
      </w:r>
      <w:r w:rsidRPr="00716193">
        <w:br/>
        <w:t>35 000 лв. за 2013 г. и 577 453 лв. за 2014 г.</w:t>
      </w:r>
    </w:p>
    <w:p w:rsidR="000C097A" w:rsidRDefault="000C097A" w:rsidP="000C097A">
      <w:pPr>
        <w:ind w:firstLine="720"/>
        <w:jc w:val="both"/>
      </w:pPr>
      <w:r w:rsidRPr="00716193">
        <w:t>При одита е проверена документацията на проведените процедури за обществени поръчки през одитирания период, включени в обхвата на одита, от които 2 открити процедури по ЗОП и 2 обществени поръчки, възложени ч</w:t>
      </w:r>
      <w:r w:rsidR="000D681E" w:rsidRPr="00716193">
        <w:t>рез публична покана по глава ос</w:t>
      </w:r>
      <w:r w:rsidRPr="00716193">
        <w:t>м</w:t>
      </w:r>
      <w:r w:rsidR="000D681E" w:rsidRPr="00716193">
        <w:t>а</w:t>
      </w:r>
      <w:r w:rsidRPr="00716193">
        <w:t xml:space="preserve"> „а“ от ЗОП. Извършената проверка е за установяване на степента на съответствие на взетите управленски решения с правната рамка и договорите при възлагането на обществените поръчки.</w:t>
      </w:r>
    </w:p>
    <w:p w:rsidR="000C097A" w:rsidRPr="00716193" w:rsidRDefault="000C097A" w:rsidP="000C097A">
      <w:pPr>
        <w:ind w:firstLine="720"/>
        <w:jc w:val="both"/>
      </w:pPr>
    </w:p>
    <w:p w:rsidR="000C097A" w:rsidRPr="00716193" w:rsidRDefault="000C097A" w:rsidP="000C097A">
      <w:pPr>
        <w:jc w:val="both"/>
        <w:rPr>
          <w:b/>
        </w:rPr>
      </w:pPr>
      <w:r w:rsidRPr="00716193">
        <w:rPr>
          <w:b/>
        </w:rPr>
        <w:tab/>
        <w:t>2. Вътрешни актове</w:t>
      </w:r>
    </w:p>
    <w:p w:rsidR="000C097A" w:rsidRPr="00716193" w:rsidRDefault="000C097A" w:rsidP="000C097A">
      <w:pPr>
        <w:ind w:firstLine="720"/>
        <w:jc w:val="both"/>
      </w:pPr>
      <w:r w:rsidRPr="00716193">
        <w:rPr>
          <w:b/>
        </w:rPr>
        <w:t>2.1</w:t>
      </w:r>
      <w:r w:rsidRPr="00716193">
        <w:t>. В съответствие с изискванията на чл. 8б</w:t>
      </w:r>
      <w:r w:rsidRPr="00716193">
        <w:rPr>
          <w:rStyle w:val="FootnoteReference"/>
        </w:rPr>
        <w:t xml:space="preserve"> </w:t>
      </w:r>
      <w:r w:rsidRPr="00716193">
        <w:t>от ЗОП</w:t>
      </w:r>
      <w:r w:rsidRPr="00716193">
        <w:rPr>
          <w:rStyle w:val="FootnoteReference"/>
        </w:rPr>
        <w:footnoteReference w:id="157"/>
      </w:r>
      <w:r w:rsidRPr="00716193">
        <w:t>, в „НСБ“ ЕАД са приети и са действали „Вътрешни правила за провеждане на процедури по възлагане на обществени поръчки” (ВПППВОП), в сила от 01.03.2013 г., утвърдени със заповед на изпълнителния директор на ТД.</w:t>
      </w:r>
      <w:r w:rsidRPr="00716193">
        <w:rPr>
          <w:rStyle w:val="FootnoteReference"/>
        </w:rPr>
        <w:footnoteReference w:id="158"/>
      </w:r>
      <w:r w:rsidRPr="00716193">
        <w:t xml:space="preserve"> Преди тази дата в дружеството няма приети вътрешни правила, съгласно </w:t>
      </w:r>
      <w:r w:rsidRPr="00716193">
        <w:lastRenderedPageBreak/>
        <w:t>чл. 8б</w:t>
      </w:r>
      <w:r w:rsidRPr="00716193">
        <w:rPr>
          <w:rStyle w:val="FootnoteReference"/>
        </w:rPr>
        <w:t xml:space="preserve"> </w:t>
      </w:r>
      <w:r w:rsidRPr="00716193">
        <w:t xml:space="preserve">от ЗОП. Правилата уреждат вътрешната организация за планиране, подготовка, провеждане, контрол, съхранение и ползване на документацията на възлагането и изпълнението на обществените поръчки. </w:t>
      </w:r>
    </w:p>
    <w:p w:rsidR="000C097A" w:rsidRPr="00716193" w:rsidRDefault="000C097A" w:rsidP="000C097A">
      <w:pPr>
        <w:pStyle w:val="FootnoteText"/>
        <w:ind w:firstLine="708"/>
        <w:jc w:val="both"/>
        <w:rPr>
          <w:sz w:val="24"/>
          <w:szCs w:val="24"/>
        </w:rPr>
      </w:pPr>
      <w:r w:rsidRPr="00716193">
        <w:rPr>
          <w:sz w:val="24"/>
          <w:szCs w:val="24"/>
        </w:rPr>
        <w:t>С Протокол на Съвета на директорите № 215/29.07.2013 г.</w:t>
      </w:r>
      <w:r w:rsidRPr="00716193">
        <w:rPr>
          <w:rStyle w:val="FootnoteReference"/>
          <w:sz w:val="24"/>
          <w:szCs w:val="24"/>
        </w:rPr>
        <w:footnoteReference w:id="159"/>
      </w:r>
      <w:r w:rsidRPr="00716193">
        <w:rPr>
          <w:sz w:val="24"/>
          <w:szCs w:val="24"/>
        </w:rPr>
        <w:t xml:space="preserve"> се изменя чл. 12, </w:t>
      </w:r>
      <w:r w:rsidRPr="00716193">
        <w:rPr>
          <w:sz w:val="24"/>
          <w:szCs w:val="24"/>
        </w:rPr>
        <w:br/>
        <w:t xml:space="preserve">ал. 10 от Вътрешните правила, като се предвижда СД на ТД да дава предварителна санкция за поръчки, чиято прогнозна стойност надвишава 20 хил. лв. без ДДС, (при предишен праг – над 5 хил. лв.). Взетото решение не е отразено във ВПППВОП. Предвидено е в останалите случаи утвърждаването </w:t>
      </w:r>
      <w:r w:rsidR="00CC4009" w:rsidRPr="00716193">
        <w:rPr>
          <w:sz w:val="24"/>
          <w:szCs w:val="24"/>
        </w:rPr>
        <w:t xml:space="preserve">на </w:t>
      </w:r>
      <w:r w:rsidRPr="00716193">
        <w:rPr>
          <w:sz w:val="24"/>
          <w:szCs w:val="24"/>
        </w:rPr>
        <w:t>поръчката да става със заповед на изпълнителния директор.</w:t>
      </w:r>
    </w:p>
    <w:p w:rsidR="000C097A" w:rsidRPr="00716193" w:rsidRDefault="000C097A" w:rsidP="000C097A">
      <w:pPr>
        <w:pStyle w:val="FootnoteText"/>
        <w:jc w:val="both"/>
        <w:rPr>
          <w:sz w:val="24"/>
          <w:szCs w:val="24"/>
        </w:rPr>
      </w:pPr>
      <w:r w:rsidRPr="00716193">
        <w:rPr>
          <w:sz w:val="24"/>
          <w:szCs w:val="24"/>
        </w:rPr>
        <w:tab/>
        <w:t>По време на одита, с Решение на СД, отразено в Протокол № 241/29.01.2015 г., са приети нови Вътрешни правила за провеждане на процедури по възлагане на обществени поръчки, утвърдени със заповед на изпълнителния директор на дружеството.</w:t>
      </w:r>
      <w:r w:rsidRPr="00716193">
        <w:rPr>
          <w:rStyle w:val="FootnoteReference"/>
          <w:sz w:val="24"/>
          <w:szCs w:val="24"/>
        </w:rPr>
        <w:footnoteReference w:id="160"/>
      </w:r>
    </w:p>
    <w:p w:rsidR="000C097A" w:rsidRPr="00716193" w:rsidRDefault="000C097A" w:rsidP="000C097A">
      <w:pPr>
        <w:jc w:val="both"/>
      </w:pPr>
      <w:r w:rsidRPr="00716193">
        <w:tab/>
        <w:t>При одита е установено:</w:t>
      </w:r>
    </w:p>
    <w:p w:rsidR="000C097A" w:rsidRPr="00716193" w:rsidRDefault="000C097A" w:rsidP="000C097A">
      <w:pPr>
        <w:ind w:firstLine="720"/>
        <w:jc w:val="both"/>
      </w:pPr>
      <w:r w:rsidRPr="00716193">
        <w:rPr>
          <w:b/>
        </w:rPr>
        <w:t>2.1.1.</w:t>
      </w:r>
      <w:r w:rsidRPr="00716193">
        <w:t xml:space="preserve"> Във ВПППВОП</w:t>
      </w:r>
      <w:r w:rsidRPr="00716193">
        <w:rPr>
          <w:rStyle w:val="FootnoteReference"/>
        </w:rPr>
        <w:footnoteReference w:id="161"/>
      </w:r>
      <w:r w:rsidRPr="00716193">
        <w:t xml:space="preserve"> е въведено изискване в срок до 30 октомври на текущата година директорите на дирекции „Инвестиционна политика”, Административни дейности”, „Координация, сигурност и контрол на достъпа”, отдел „Спортни имоти, собственост на „НСБ” ЕАД”, както и ръководителите на самостоятелни звена към ТД, да определят необходимостта от провеждане на обществени поръчки за следващата бюджетна година, като изготвят доклади за планираните разходи. На база получените доклади експертите и специалистите ЗОП към „ДАД” изготвят обобщена справка на планираните за възлагане обществени поръчки за следващите 12 месеца. След съгласуване на обобщената справка от директора на дирекция „Финансово-стопанска дейност”, същата се утвърждава от изпълнителния директор.</w:t>
      </w:r>
      <w:r w:rsidRPr="00716193">
        <w:rPr>
          <w:rStyle w:val="FootnoteReference"/>
        </w:rPr>
        <w:footnoteReference w:id="162"/>
      </w:r>
    </w:p>
    <w:p w:rsidR="000C097A" w:rsidRPr="00716193" w:rsidRDefault="000C097A" w:rsidP="000C097A">
      <w:pPr>
        <w:ind w:firstLine="720"/>
        <w:jc w:val="both"/>
      </w:pPr>
      <w:r w:rsidRPr="00716193">
        <w:t>През одитирания период не е спазено изискването на ВПППВОП обществените поръчки да се определят на базата на утвърдена от изпълнителния директор обобщена справка на планираните за възлагане обществени поръчки и разполагаемите финансови ресурси за следващата бюджетна година.</w:t>
      </w:r>
      <w:r w:rsidRPr="00716193">
        <w:rPr>
          <w:rStyle w:val="FootnoteReference"/>
        </w:rPr>
        <w:footnoteReference w:id="163"/>
      </w:r>
      <w:r w:rsidRPr="00716193">
        <w:t xml:space="preserve"> </w:t>
      </w:r>
    </w:p>
    <w:p w:rsidR="000C097A" w:rsidRPr="00716193" w:rsidRDefault="000C097A" w:rsidP="000C097A">
      <w:pPr>
        <w:ind w:firstLine="720"/>
        <w:jc w:val="both"/>
      </w:pPr>
      <w:r w:rsidRPr="00716193">
        <w:t xml:space="preserve">През одитирания период не е извършвано възлагане на обществените поръчки, основано на планиране, съгласно изискванията на ВПППВОП, и обезпечаването им с финансов ресурс. Създадени са предпоставки за неспазване на законовите изисквания при извършването на разходи, чиято стойност попада в приложното поле на ЗОП, но за които, поради липса на планиране на потребностите и на финансов ресурс, не са приложени изискванията на същия закон. </w:t>
      </w:r>
    </w:p>
    <w:p w:rsidR="000C097A" w:rsidRPr="00716193" w:rsidRDefault="000C097A" w:rsidP="000C097A">
      <w:pPr>
        <w:ind w:firstLine="720"/>
        <w:jc w:val="both"/>
      </w:pPr>
      <w:r w:rsidRPr="00716193">
        <w:t xml:space="preserve">С приетите и влезли в сила от 02.02.2015 г. ВППВОП процесът по планиране на потребностите от възлагане на обществени поръчки, както и по възлагане на поръчки извън планираните за текущата година, е </w:t>
      </w:r>
      <w:r w:rsidRPr="00716193">
        <w:rPr>
          <w:iCs/>
          <w:lang w:eastAsia="en-US"/>
        </w:rPr>
        <w:t>актуализиран в съответствие с извършените структурни промени в дружеството.</w:t>
      </w:r>
      <w:r w:rsidRPr="00716193">
        <w:rPr>
          <w:rStyle w:val="FootnoteReference"/>
        </w:rPr>
        <w:footnoteReference w:id="164"/>
      </w:r>
      <w:r w:rsidRPr="00716193">
        <w:t xml:space="preserve"> </w:t>
      </w:r>
    </w:p>
    <w:p w:rsidR="000C097A" w:rsidRPr="00716193" w:rsidRDefault="000C097A" w:rsidP="000C097A">
      <w:pPr>
        <w:ind w:firstLine="720"/>
        <w:jc w:val="both"/>
      </w:pPr>
    </w:p>
    <w:p w:rsidR="000C097A" w:rsidRPr="00716193" w:rsidRDefault="000C097A" w:rsidP="000C097A">
      <w:pPr>
        <w:jc w:val="both"/>
        <w:rPr>
          <w:i/>
        </w:rPr>
      </w:pPr>
      <w:r w:rsidRPr="00716193">
        <w:rPr>
          <w:i/>
        </w:rPr>
        <w:tab/>
        <w:t>Планирането на обществените поръчки, като етап от процеса по възлагане на обществени поръчки в „НСБ“ ЕАД за одитирания период, не е извършено в съответствие с действащите вътрешни правила и не е обвързано с финансов ресурс, с което е създаден риск за неправилна преценка на необходимостта от провеждане на процедури/поръчки и на вида им.</w:t>
      </w:r>
    </w:p>
    <w:p w:rsidR="000C097A" w:rsidRPr="00716193" w:rsidRDefault="000C097A" w:rsidP="000C097A">
      <w:pPr>
        <w:jc w:val="both"/>
        <w:rPr>
          <w:b/>
          <w:i/>
        </w:rPr>
      </w:pPr>
      <w:r w:rsidRPr="00716193">
        <w:rPr>
          <w:b/>
          <w:i/>
        </w:rPr>
        <w:lastRenderedPageBreak/>
        <w:tab/>
      </w:r>
    </w:p>
    <w:p w:rsidR="000C097A" w:rsidRPr="00716193" w:rsidRDefault="000C097A" w:rsidP="000C097A">
      <w:pPr>
        <w:ind w:firstLine="708"/>
        <w:jc w:val="both"/>
      </w:pPr>
      <w:r w:rsidRPr="00716193">
        <w:rPr>
          <w:b/>
        </w:rPr>
        <w:t>2.1.2.</w:t>
      </w:r>
      <w:r w:rsidRPr="00716193">
        <w:t xml:space="preserve"> Във ВПППВОП през одитирания период са определени отговорности на оправомощени служители на „НСБ” ЕАД, ангажирани със съответната обществена поръчка, съвместно със специалист ЗОП към „ДАД”, да изготвят предварителните обявления по образец на АОП. Експертите и специалистите - ЗОП към дирекция „ДАД” са отговорни за изпращането на предварителните обявления за планираните обществени поръчки в АОП и Официалния вестник на Европейския съюз </w:t>
      </w:r>
      <w:r w:rsidRPr="00716193">
        <w:rPr>
          <w:lang w:val="en-US"/>
        </w:rPr>
        <w:t>(</w:t>
      </w:r>
      <w:r w:rsidRPr="00716193">
        <w:t>ОВ на ЕС</w:t>
      </w:r>
      <w:r w:rsidRPr="00716193">
        <w:rPr>
          <w:lang w:val="en-US"/>
        </w:rPr>
        <w:t>)</w:t>
      </w:r>
      <w:r w:rsidRPr="00716193">
        <w:t>, при необходимост за публикуване, в срок до 31 януари на текущата бюджетна година</w:t>
      </w:r>
      <w:r w:rsidRPr="00716193">
        <w:rPr>
          <w:rStyle w:val="FootnoteReference"/>
        </w:rPr>
        <w:footnoteReference w:id="165"/>
      </w:r>
      <w:r w:rsidRPr="00716193">
        <w:t>. Определени са им също и задължения</w:t>
      </w:r>
      <w:r w:rsidRPr="00716193">
        <w:rPr>
          <w:rStyle w:val="FootnoteReference"/>
        </w:rPr>
        <w:footnoteReference w:id="166"/>
      </w:r>
      <w:r w:rsidRPr="00716193">
        <w:t xml:space="preserve"> във връзка с изготвяне, съгласуване и утвърждаване на документацията за участие, стартиране, провеждане на процедурите по обществени поръчки и определянето на изпълнители, сключването на договори и структуриране на досиета с документите, съставени във връзка с обществените поръчки в дружеството. </w:t>
      </w:r>
    </w:p>
    <w:p w:rsidR="000C097A" w:rsidRPr="00716193" w:rsidRDefault="000C097A" w:rsidP="000C097A">
      <w:pPr>
        <w:jc w:val="both"/>
      </w:pPr>
      <w:r w:rsidRPr="00716193">
        <w:tab/>
        <w:t>Съгласно Разписание на длъжностите в „НСБ“ ЕАД от 01.02.2013 г., утвърдено с Протокол № 208/28.01.2013 г. на СД, към Дирекция „Административни дейности” са назначени 2 бр. „Експерт, обществени поръчки”, 2 бр. „Специалист - ЗОП”, които са прехвърлени към отдел „Правен”, считано от 19.08.2013 г., съгласно Разписание на длъжностите в „НСБ” ЕАД, утвърдено от СД с Протокол № 216/14.08.2013 г.</w:t>
      </w:r>
      <w:r w:rsidRPr="00716193">
        <w:rPr>
          <w:rStyle w:val="FootnoteReference"/>
        </w:rPr>
        <w:t xml:space="preserve"> </w:t>
      </w:r>
      <w:r w:rsidRPr="00716193">
        <w:rPr>
          <w:rStyle w:val="FootnoteReference"/>
        </w:rPr>
        <w:footnoteReference w:id="167"/>
      </w:r>
      <w:r w:rsidRPr="00716193">
        <w:t xml:space="preserve">  </w:t>
      </w:r>
    </w:p>
    <w:p w:rsidR="000C097A" w:rsidRPr="00716193" w:rsidRDefault="000C097A" w:rsidP="000C097A">
      <w:pPr>
        <w:ind w:firstLine="708"/>
        <w:jc w:val="both"/>
      </w:pPr>
      <w:r w:rsidRPr="00716193">
        <w:t>С Протокол № 219/03.10.2013 г.</w:t>
      </w:r>
      <w:r w:rsidRPr="00716193">
        <w:rPr>
          <w:rStyle w:val="FootnoteReference"/>
        </w:rPr>
        <w:footnoteReference w:id="168"/>
      </w:r>
      <w:r w:rsidR="00AB7C20" w:rsidRPr="00716193">
        <w:t xml:space="preserve"> на СД</w:t>
      </w:r>
      <w:r w:rsidRPr="00716193">
        <w:t xml:space="preserve"> е взето решение за съкращаване на щатните бройки (2 бр. „експерт обществени поръчки и 2 бр. „специалист-ЗОП”)</w:t>
      </w:r>
      <w:r w:rsidRPr="00716193">
        <w:rPr>
          <w:rStyle w:val="FootnoteReference"/>
        </w:rPr>
        <w:t xml:space="preserve"> </w:t>
      </w:r>
      <w:r w:rsidRPr="00716193">
        <w:rPr>
          <w:rStyle w:val="FootnoteReference"/>
        </w:rPr>
        <w:footnoteReference w:id="169"/>
      </w:r>
      <w:r w:rsidRPr="00716193">
        <w:t xml:space="preserve"> в отдел „Правен” и е възложено на изпълнителния директор да сключи договор с външен консултант с предмет предоставяне на консултации по конкретни заявки в сферата на обществените поръчки. На 07.10.2013 г. е сключен договор със Сдружение „Център за обществени поръчки”, с предмет „да предостави консултации по конкретни заявки в сферата на обществените поръчки”, изброени подробно в договора. Предметът на договора не покрива в достатъчна степен дейността по възлагане на обществените поръчки в дружеството и документирането й, в съответствие с изискванията на ЗОП и ВПППВОП.</w:t>
      </w:r>
      <w:r w:rsidRPr="00716193">
        <w:rPr>
          <w:rStyle w:val="FootnoteReference"/>
        </w:rPr>
        <w:footnoteReference w:id="170"/>
      </w:r>
      <w:r w:rsidRPr="00716193">
        <w:t xml:space="preserve"> </w:t>
      </w:r>
    </w:p>
    <w:p w:rsidR="000C097A" w:rsidRPr="00716193" w:rsidRDefault="000C097A" w:rsidP="000C097A">
      <w:pPr>
        <w:ind w:firstLine="708"/>
        <w:jc w:val="both"/>
      </w:pPr>
      <w:r w:rsidRPr="00716193">
        <w:t>В приетите и влезли в сила от 02.02.2015 г. ВППВОП са определени структурните звена, отговорни за подготовката, възлагането, контрола и документирането им при провеждането и възлагането на обществени поръчки в дружеството.</w:t>
      </w:r>
      <w:r w:rsidRPr="00716193">
        <w:rPr>
          <w:rStyle w:val="FootnoteReference"/>
        </w:rPr>
        <w:t xml:space="preserve"> </w:t>
      </w:r>
      <w:r w:rsidRPr="00716193">
        <w:rPr>
          <w:rStyle w:val="FootnoteReference"/>
        </w:rPr>
        <w:footnoteReference w:id="171"/>
      </w:r>
    </w:p>
    <w:p w:rsidR="000C097A" w:rsidRPr="00716193" w:rsidRDefault="000C097A" w:rsidP="000C097A">
      <w:pPr>
        <w:pStyle w:val="BodyText2"/>
        <w:spacing w:after="0" w:line="240" w:lineRule="auto"/>
        <w:ind w:firstLine="708"/>
        <w:jc w:val="both"/>
        <w:rPr>
          <w:i/>
          <w:iCs/>
          <w:lang w:val="en-US"/>
        </w:rPr>
      </w:pPr>
    </w:p>
    <w:p w:rsidR="000C097A" w:rsidRPr="00716193" w:rsidRDefault="000C097A" w:rsidP="000C097A">
      <w:pPr>
        <w:pStyle w:val="BodyText2"/>
        <w:spacing w:after="0" w:line="240" w:lineRule="auto"/>
        <w:ind w:firstLine="709"/>
        <w:jc w:val="both"/>
        <w:rPr>
          <w:i/>
          <w:iCs/>
          <w:lang w:eastAsia="en-US"/>
        </w:rPr>
      </w:pPr>
      <w:r w:rsidRPr="00716193">
        <w:rPr>
          <w:i/>
          <w:iCs/>
        </w:rPr>
        <w:t xml:space="preserve">Вътрешните правила за обществените поръчки, действащи през одитирания период, </w:t>
      </w:r>
      <w:r w:rsidRPr="00716193">
        <w:rPr>
          <w:i/>
          <w:iCs/>
          <w:lang w:eastAsia="en-US"/>
        </w:rPr>
        <w:t xml:space="preserve">не са актуализирани в съответствие с извършената структурна промяна в дружеството. </w:t>
      </w:r>
      <w:r w:rsidRPr="00716193">
        <w:rPr>
          <w:i/>
        </w:rPr>
        <w:t xml:space="preserve">Управленските решения във връзка с извършването на промени в структурата и щатното разписание на длъжностите, отговорни за провеждане и документиране на процедурите по ЗОП, предпоставят риск за незаконосъобразно и неефективно възлагане на обществените поръчки в дружеството, както и за липсата на документиране на всяка стъпка от процеса. </w:t>
      </w:r>
    </w:p>
    <w:p w:rsidR="000C097A" w:rsidRPr="00716193" w:rsidRDefault="000C097A" w:rsidP="000C097A">
      <w:pPr>
        <w:jc w:val="both"/>
        <w:rPr>
          <w:i/>
        </w:rPr>
      </w:pPr>
      <w:r w:rsidRPr="00716193">
        <w:rPr>
          <w:i/>
        </w:rPr>
        <w:tab/>
      </w:r>
    </w:p>
    <w:p w:rsidR="000C097A" w:rsidRPr="00716193" w:rsidRDefault="000C097A" w:rsidP="000C097A">
      <w:pPr>
        <w:tabs>
          <w:tab w:val="left" w:pos="720"/>
        </w:tabs>
        <w:jc w:val="both"/>
      </w:pPr>
      <w:r w:rsidRPr="00716193">
        <w:tab/>
      </w:r>
      <w:r w:rsidRPr="00716193">
        <w:rPr>
          <w:b/>
        </w:rPr>
        <w:t xml:space="preserve">2.2. </w:t>
      </w:r>
      <w:r w:rsidRPr="00716193">
        <w:t>През одитирания период са приети Вътрешни правила, изграждащи СФУК в „НСБ” ЕАД, утвърдени със Заповед № 13-000916-1/19.04.2013 г. на изпълнителния директор на дружеството</w:t>
      </w:r>
      <w:r w:rsidRPr="00716193">
        <w:rPr>
          <w:rStyle w:val="FootnoteReference"/>
        </w:rPr>
        <w:footnoteReference w:id="172"/>
      </w:r>
      <w:r w:rsidRPr="00716193">
        <w:t xml:space="preserve">. Те регламентират организацията и задълженията, свързани с осъществяването на предварителния контрол за законосъобразност преди вземане на решение </w:t>
      </w:r>
      <w:r w:rsidRPr="00716193">
        <w:lastRenderedPageBreak/>
        <w:t>за поемане на задължение и извършване на разход, изпълнявани от финансов контрольор и юрист</w:t>
      </w:r>
      <w:r w:rsidRPr="00716193">
        <w:rPr>
          <w:rStyle w:val="FootnoteReference"/>
        </w:rPr>
        <w:footnoteReference w:id="173"/>
      </w:r>
      <w:r w:rsidRPr="00716193">
        <w:t>. По отношение на предварителния контрол във връзка с проведените процедури по обществени поръчки преди извършване на плащане и документиране на резултатите от осъществяването му, са включени съответни изисквания и във ВПППВОП</w:t>
      </w:r>
      <w:r w:rsidRPr="00716193">
        <w:rPr>
          <w:rStyle w:val="FootnoteReference"/>
        </w:rPr>
        <w:footnoteReference w:id="174"/>
      </w:r>
      <w:r w:rsidRPr="00716193">
        <w:t xml:space="preserve">. </w:t>
      </w:r>
    </w:p>
    <w:p w:rsidR="000C097A" w:rsidRPr="00716193" w:rsidRDefault="000C097A" w:rsidP="000C097A">
      <w:pPr>
        <w:ind w:firstLine="708"/>
        <w:jc w:val="both"/>
      </w:pPr>
      <w:r w:rsidRPr="00716193">
        <w:t>В Работна инструкция</w:t>
      </w:r>
      <w:r w:rsidRPr="00716193">
        <w:rPr>
          <w:rStyle w:val="FootnoteReference"/>
        </w:rPr>
        <w:footnoteReference w:id="175"/>
      </w:r>
      <w:r w:rsidRPr="00716193">
        <w:t xml:space="preserve"> към Вътрешните правила, изграждащи СФУК - „Съставяне на досие на задължение/разход”,</w:t>
      </w:r>
      <w:r w:rsidRPr="00716193">
        <w:rPr>
          <w:rStyle w:val="FootnoteReference"/>
        </w:rPr>
        <w:t xml:space="preserve"> </w:t>
      </w:r>
      <w:r w:rsidRPr="00716193">
        <w:t>с приложени образци на контролен лист, регистър за движение на досие и други, са изброени задължителните документи, които следва да съдържат досиетата на процедурите по обществени поръчки, реда за документиране на използването и приемането/предаването им. Във ВПППВОП</w:t>
      </w:r>
      <w:r w:rsidRPr="00716193">
        <w:rPr>
          <w:rStyle w:val="FootnoteReference"/>
        </w:rPr>
        <w:footnoteReference w:id="176"/>
      </w:r>
      <w:r w:rsidRPr="00716193">
        <w:t xml:space="preserve"> са предвидени отговорности на определени длъжностни лица във връзка със структурирането на досиетата по обществени поръчки и архивирането им.</w:t>
      </w:r>
    </w:p>
    <w:p w:rsidR="000C097A" w:rsidRPr="00716193" w:rsidRDefault="000C097A" w:rsidP="000C097A">
      <w:pPr>
        <w:tabs>
          <w:tab w:val="left" w:pos="2250"/>
        </w:tabs>
        <w:ind w:firstLine="709"/>
        <w:jc w:val="both"/>
      </w:pPr>
      <w:r w:rsidRPr="00716193">
        <w:t>През одитирания период длъжността „финансов контрольор” е била заета за периодите от 22.07.2013 г. до 11.08.2013 г. и от 18.06.2014 г. до 17.11.2014 г.</w:t>
      </w:r>
      <w:r w:rsidRPr="00716193">
        <w:rPr>
          <w:rStyle w:val="FootnoteReference"/>
        </w:rPr>
        <w:footnoteReference w:id="177"/>
      </w:r>
      <w:r w:rsidRPr="00716193">
        <w:t xml:space="preserve">, което не е позволило последователното прилагане на определените във вътрешните правила съответни процедури за осъществяване на предварителен контрол и документиране на резултатите от него, при поемане на задължения и извършването на разходи за обществените поръчки по ЗОП. </w:t>
      </w:r>
    </w:p>
    <w:p w:rsidR="000C097A" w:rsidRPr="00716193" w:rsidRDefault="000C097A" w:rsidP="000C097A">
      <w:pPr>
        <w:tabs>
          <w:tab w:val="left" w:pos="2250"/>
        </w:tabs>
        <w:ind w:firstLine="709"/>
        <w:jc w:val="both"/>
      </w:pPr>
      <w:r w:rsidRPr="00716193">
        <w:t>Поради липсата през по-голямата част от одитирания период на отговорни длъжностни лица</w:t>
      </w:r>
      <w:r w:rsidRPr="00716193">
        <w:rPr>
          <w:rStyle w:val="FootnoteReference"/>
        </w:rPr>
        <w:footnoteReference w:id="178"/>
      </w:r>
      <w:r w:rsidRPr="00716193">
        <w:t xml:space="preserve"> за документирането на процедурите по обществени поръчки и структурирането им по хронологичен ред в досиета, не са налице данни за прилагането през периода на определения в Работната инструкция и във ВПППВОП ред за пълното комплектоване, използване и съхранение на досиетата по обществени поръчки.</w:t>
      </w:r>
      <w:r w:rsidRPr="00716193">
        <w:rPr>
          <w:rStyle w:val="FootnoteReference"/>
        </w:rPr>
        <w:footnoteReference w:id="179"/>
      </w:r>
    </w:p>
    <w:p w:rsidR="000C097A" w:rsidRPr="00716193" w:rsidRDefault="000C097A" w:rsidP="000C097A">
      <w:pPr>
        <w:tabs>
          <w:tab w:val="left" w:pos="2250"/>
        </w:tabs>
        <w:ind w:firstLine="709"/>
        <w:jc w:val="both"/>
      </w:pPr>
      <w:r w:rsidRPr="00716193">
        <w:t>В приетите ВПППВОП, в сила от 02.02.2015 г., отговорността за законосъобразното и целесъобразно поемане на финансови задължения и извършване на разходи при възлагане на обществени поръчки е възложена на главния счетоводител</w:t>
      </w:r>
      <w:r w:rsidRPr="00716193">
        <w:rPr>
          <w:rStyle w:val="FootnoteReference"/>
        </w:rPr>
        <w:footnoteReference w:id="180"/>
      </w:r>
      <w:r w:rsidRPr="00716193">
        <w:t>, а контролът по цялостното организиране и провеждане на процедурите по обществени поръчки, включително и контролът</w:t>
      </w:r>
      <w:r w:rsidRPr="00716193">
        <w:rPr>
          <w:rStyle w:val="FootnoteReference"/>
        </w:rPr>
        <w:footnoteReference w:id="181"/>
      </w:r>
      <w:r w:rsidRPr="00716193">
        <w:t xml:space="preserve"> върху работата на назначените от него комисии, е от компетентността на изпълнителния директор. Предвидена е отговорност на структурно звено „Дирекция европейски структурни фондове, обществени поръчки, търгове и конкурси”</w:t>
      </w:r>
      <w:r w:rsidRPr="00716193">
        <w:rPr>
          <w:rStyle w:val="FootnoteReference"/>
        </w:rPr>
        <w:footnoteReference w:id="182"/>
      </w:r>
      <w:r w:rsidRPr="00716193">
        <w:t>, съвместно с дирекция „Правна”, по създаването, съхраняването и архивирането на пълно досие по обществените поръчки.</w:t>
      </w:r>
    </w:p>
    <w:p w:rsidR="000C097A" w:rsidRPr="00716193" w:rsidRDefault="000C097A" w:rsidP="000C097A">
      <w:pPr>
        <w:tabs>
          <w:tab w:val="left" w:pos="2250"/>
        </w:tabs>
        <w:ind w:firstLine="709"/>
        <w:jc w:val="both"/>
        <w:rPr>
          <w:i/>
        </w:rPr>
      </w:pPr>
    </w:p>
    <w:p w:rsidR="000C097A" w:rsidRPr="00716193" w:rsidRDefault="00C226E9" w:rsidP="000C097A">
      <w:pPr>
        <w:tabs>
          <w:tab w:val="left" w:pos="2250"/>
        </w:tabs>
        <w:ind w:firstLine="709"/>
        <w:jc w:val="both"/>
        <w:rPr>
          <w:i/>
        </w:rPr>
      </w:pPr>
      <w:r w:rsidRPr="00716193">
        <w:rPr>
          <w:i/>
        </w:rPr>
        <w:t>В началото на</w:t>
      </w:r>
      <w:r w:rsidR="000C097A" w:rsidRPr="00716193">
        <w:rPr>
          <w:i/>
        </w:rPr>
        <w:t xml:space="preserve"> одитирания период в „НСБ“ ЕАД </w:t>
      </w:r>
      <w:r w:rsidRPr="00716193">
        <w:rPr>
          <w:i/>
        </w:rPr>
        <w:t xml:space="preserve">няма писмено въведени контроли, а през останалата част от периода </w:t>
      </w:r>
      <w:r w:rsidR="000C097A" w:rsidRPr="00716193">
        <w:rPr>
          <w:i/>
        </w:rPr>
        <w:t>не са прилагани п</w:t>
      </w:r>
      <w:r w:rsidRPr="00716193">
        <w:rPr>
          <w:i/>
        </w:rPr>
        <w:t>оследователно определените във В</w:t>
      </w:r>
      <w:r w:rsidR="000C097A" w:rsidRPr="00716193">
        <w:rPr>
          <w:i/>
        </w:rPr>
        <w:t>ътрешните правила, изграждащи СФУК,</w:t>
      </w:r>
      <w:r w:rsidR="000C097A" w:rsidRPr="00716193">
        <w:t xml:space="preserve"> </w:t>
      </w:r>
      <w:r w:rsidR="000C097A" w:rsidRPr="00716193">
        <w:rPr>
          <w:i/>
        </w:rPr>
        <w:t xml:space="preserve">и във ВПППВОП съответни процедури за осъществяване на контрол и документирането му в областта на обществените поръчки. </w:t>
      </w:r>
    </w:p>
    <w:p w:rsidR="000C097A" w:rsidRPr="00716193" w:rsidRDefault="000C097A" w:rsidP="000C097A">
      <w:pPr>
        <w:tabs>
          <w:tab w:val="left" w:pos="2250"/>
        </w:tabs>
        <w:ind w:firstLine="709"/>
        <w:jc w:val="both"/>
        <w:rPr>
          <w:b/>
          <w:i/>
        </w:rPr>
      </w:pPr>
    </w:p>
    <w:p w:rsidR="000C097A" w:rsidRPr="00716193" w:rsidRDefault="000C097A" w:rsidP="000C097A">
      <w:pPr>
        <w:tabs>
          <w:tab w:val="left" w:pos="2250"/>
        </w:tabs>
        <w:ind w:firstLine="709"/>
        <w:jc w:val="both"/>
        <w:rPr>
          <w:b/>
          <w:i/>
        </w:rPr>
      </w:pPr>
      <w:r w:rsidRPr="00716193">
        <w:rPr>
          <w:b/>
        </w:rPr>
        <w:t>2.3. Профил на купувача</w:t>
      </w:r>
    </w:p>
    <w:p w:rsidR="000C097A" w:rsidRPr="00716193" w:rsidRDefault="000C097A" w:rsidP="000C097A">
      <w:pPr>
        <w:pStyle w:val="NoSpacing"/>
        <w:ind w:firstLine="708"/>
        <w:jc w:val="both"/>
      </w:pPr>
      <w:r w:rsidRPr="00716193">
        <w:t xml:space="preserve">В изпълнение на изискванията на чл. 22б и следващите от ЗОП, в сила от </w:t>
      </w:r>
      <w:r w:rsidRPr="00716193">
        <w:br/>
        <w:t xml:space="preserve">01.10.2014 г., от „НСБ“ ЕАД е създаден профил на купувача, като обособена част от </w:t>
      </w:r>
      <w:r w:rsidRPr="00716193">
        <w:lastRenderedPageBreak/>
        <w:t>електронната страница на дружеството. В рамките на определения с §114, т. 3 от ПЗР на ЗИД на ЗОП шестмесечен срок, на 02.02.2015 г. със заповед на изпълнителния директор на дружеството са утвърдени „Вътрешни правила за поддържане профила на купувача в „Национална спортна база“ ЕАД“.</w:t>
      </w:r>
      <w:r w:rsidRPr="00716193">
        <w:rPr>
          <w:rStyle w:val="FootnoteReference"/>
        </w:rPr>
        <w:t xml:space="preserve"> </w:t>
      </w:r>
      <w:r w:rsidRPr="00716193">
        <w:rPr>
          <w:rStyle w:val="FootnoteReference"/>
        </w:rPr>
        <w:footnoteReference w:id="183"/>
      </w:r>
      <w:r w:rsidRPr="00716193">
        <w:t xml:space="preserve"> </w:t>
      </w:r>
    </w:p>
    <w:p w:rsidR="000C097A" w:rsidRPr="00716193" w:rsidRDefault="000C097A" w:rsidP="000C097A">
      <w:pPr>
        <w:pStyle w:val="NoSpacing"/>
        <w:ind w:firstLine="708"/>
        <w:jc w:val="both"/>
      </w:pPr>
      <w:r w:rsidRPr="00716193">
        <w:t>При извършената проверка е установено, че след 01.10.2014 г. до края на одитирания период от дружеството не са изпращани запитвания до изпълнителния директор на АОП и не са получавани съответно становища на изпълнителния директор на АОП. Публикуваната информация, е в хронологичен ред, но не е подредена систематично, което създава затруднения при търсенето в рубриката на сайта на дружеството.</w:t>
      </w:r>
      <w:r w:rsidRPr="00716193">
        <w:rPr>
          <w:rStyle w:val="FootnoteReference"/>
        </w:rPr>
        <w:t xml:space="preserve"> </w:t>
      </w:r>
      <w:r w:rsidRPr="00716193">
        <w:rPr>
          <w:rStyle w:val="FootnoteReference"/>
        </w:rPr>
        <w:footnoteReference w:id="184"/>
      </w:r>
      <w:r w:rsidRPr="00716193">
        <w:t xml:space="preserve"> </w:t>
      </w:r>
    </w:p>
    <w:p w:rsidR="000C097A" w:rsidRPr="00716193" w:rsidRDefault="000C097A" w:rsidP="000C097A">
      <w:pPr>
        <w:pStyle w:val="NoSpacing"/>
        <w:ind w:firstLine="708"/>
        <w:jc w:val="both"/>
      </w:pPr>
      <w:r w:rsidRPr="00716193">
        <w:t>Обособени са своеобразни електронни преписки за всяка обществена поръчка. Електронните преписки нямат самостоятелен идентификационен номер и не съдържат дата на създаването им.</w:t>
      </w:r>
      <w:r w:rsidRPr="00716193">
        <w:rPr>
          <w:rStyle w:val="FootnoteReference"/>
        </w:rPr>
        <w:footnoteReference w:id="185"/>
      </w:r>
      <w:r w:rsidRPr="00716193">
        <w:t xml:space="preserve"> При някои от поръчките е отбелязана датата на публикуването им в профила на купувача. За конкретните обществени поръчки и публични покани са публикувани изискуемите документи и информация, но не е посочена дата на обявяването им. Липсата на дата на публикуването на съответния електронен документ възпрепятства в пълна степен възможността да се направи преценка за своевременното публикуване на информацията и за спазването на сроковете по чл. 22б, ал. 4 от ЗОП, както и за сроковете за поддържане на публикуваната информация по чл. 22б, ал. 5 и ал. 6 от ЗОП.</w:t>
      </w:r>
    </w:p>
    <w:p w:rsidR="000C097A" w:rsidRPr="00716193" w:rsidRDefault="000C097A" w:rsidP="000C097A">
      <w:pPr>
        <w:pStyle w:val="NormalWeb"/>
        <w:spacing w:before="0" w:beforeAutospacing="0" w:after="0" w:afterAutospacing="0"/>
        <w:ind w:firstLine="708"/>
        <w:jc w:val="both"/>
        <w:rPr>
          <w:i/>
        </w:rPr>
      </w:pPr>
    </w:p>
    <w:p w:rsidR="000C097A" w:rsidRPr="00716193" w:rsidRDefault="000C097A" w:rsidP="000C097A">
      <w:pPr>
        <w:pStyle w:val="NormalWeb"/>
        <w:spacing w:before="0" w:beforeAutospacing="0" w:after="0" w:afterAutospacing="0"/>
        <w:ind w:firstLine="708"/>
        <w:jc w:val="both"/>
        <w:rPr>
          <w:i/>
        </w:rPr>
      </w:pPr>
      <w:r w:rsidRPr="00716193">
        <w:rPr>
          <w:i/>
        </w:rPr>
        <w:t xml:space="preserve">Одитираната организация поддържа профил на купувача в съответствие с изискванията на ЗОП, с изключение на идентификационен номер на всяка поръчка, дата на създаването на електронните преписки и дата на публикуване на съответната информация или документ, което затруднява установяването на спазването на сроковете за публикуване на информацията по чл. 22б, ал. 4 от ЗОП. </w:t>
      </w:r>
    </w:p>
    <w:p w:rsidR="000C097A" w:rsidRPr="00716193" w:rsidRDefault="000C097A" w:rsidP="000C097A">
      <w:pPr>
        <w:pStyle w:val="NormalWeb"/>
        <w:spacing w:before="0" w:beforeAutospacing="0" w:after="0" w:afterAutospacing="0"/>
        <w:ind w:firstLine="708"/>
        <w:jc w:val="both"/>
      </w:pPr>
    </w:p>
    <w:p w:rsidR="000C097A" w:rsidRPr="00716193" w:rsidRDefault="000C097A" w:rsidP="000C097A">
      <w:pPr>
        <w:ind w:firstLine="708"/>
        <w:jc w:val="both"/>
        <w:rPr>
          <w:b/>
        </w:rPr>
      </w:pPr>
      <w:r w:rsidRPr="00716193">
        <w:rPr>
          <w:b/>
        </w:rPr>
        <w:t xml:space="preserve">3. Проведени процедури по реда на ЗОП </w:t>
      </w:r>
    </w:p>
    <w:p w:rsidR="000C097A" w:rsidRPr="00716193" w:rsidRDefault="000C097A" w:rsidP="000C097A">
      <w:pPr>
        <w:ind w:firstLine="708"/>
        <w:jc w:val="both"/>
      </w:pPr>
      <w:r w:rsidRPr="00716193">
        <w:t xml:space="preserve">Проверени са две открити процедури за обществени поръчки, едната от които е завършила със сключването на договор, а другата е прекратена. </w:t>
      </w:r>
    </w:p>
    <w:p w:rsidR="000C097A" w:rsidRPr="00716193" w:rsidRDefault="000C097A" w:rsidP="000C097A">
      <w:pPr>
        <w:ind w:firstLine="708"/>
        <w:jc w:val="both"/>
      </w:pPr>
      <w:r w:rsidRPr="00716193">
        <w:t>При проверката на документацията в предоставените от „НСБ" ЕАД досиета на двете процедури за възлагане на обществени поръчки по ЗОП, е установено:</w:t>
      </w:r>
    </w:p>
    <w:p w:rsidR="000C097A" w:rsidRPr="00716193" w:rsidRDefault="000C097A" w:rsidP="000C097A">
      <w:pPr>
        <w:ind w:firstLine="708"/>
        <w:jc w:val="both"/>
        <w:rPr>
          <w:b/>
        </w:rPr>
      </w:pPr>
      <w:r w:rsidRPr="00716193">
        <w:rPr>
          <w:b/>
        </w:rPr>
        <w:t>3.1. Открита процедура с предмет „Доставка на канцеларски материали и консумативи за принтери, факс машини и копирни машини за нуждите на „Национална спортна база” ЕАД, публикувана в Регистъра за обществени поръчки (РОП) към АОП с УИН 04324-2013-0002 и на профила на купувача на възложителя „НСБ“ЕАД.</w:t>
      </w:r>
    </w:p>
    <w:p w:rsidR="000C097A" w:rsidRPr="00716193" w:rsidRDefault="000C097A" w:rsidP="000C097A">
      <w:pPr>
        <w:ind w:firstLine="708"/>
        <w:jc w:val="both"/>
      </w:pPr>
      <w:r w:rsidRPr="00716193">
        <w:t>Процедурата е открита с решение на изпълнителния директор на „НСБ“ ЕАД</w:t>
      </w:r>
      <w:r w:rsidRPr="00716193">
        <w:rPr>
          <w:rStyle w:val="FootnoteReference"/>
        </w:rPr>
        <w:footnoteReference w:id="186"/>
      </w:r>
      <w:r w:rsidRPr="00716193">
        <w:t>, с което са одобрени обявлението за обществена поръчка и документацията за участие. С Решение за промяна, при спазване на 14-дневния срок от първоначалното публикуване на обявлението</w:t>
      </w:r>
      <w:r w:rsidRPr="00716193">
        <w:rPr>
          <w:rStyle w:val="FootnoteReference"/>
        </w:rPr>
        <w:footnoteReference w:id="187"/>
      </w:r>
      <w:r w:rsidRPr="00716193">
        <w:t>, възложителят е направил промени в обявлението и документацията, свързани с осигуряване законосъобразност на процедурата и отстраняване на пропуски в документацията. Прогнозната стойност на поръчката е до 390 хил. лв., без ДДС. Източникът на финансиране на поръчката е със собствени средства.</w:t>
      </w:r>
    </w:p>
    <w:p w:rsidR="000C097A" w:rsidRPr="00716193" w:rsidRDefault="000C097A" w:rsidP="000C097A">
      <w:pPr>
        <w:ind w:firstLine="708"/>
        <w:jc w:val="both"/>
      </w:pPr>
      <w:r w:rsidRPr="00716193">
        <w:lastRenderedPageBreak/>
        <w:t>Със заповед на изпълнителния директор на „НСБ“ ЕАД е назначена комисия за провеждане на процедурата за обществената поръчка</w:t>
      </w:r>
      <w:r w:rsidRPr="00716193">
        <w:rPr>
          <w:rStyle w:val="FootnoteReference"/>
        </w:rPr>
        <w:footnoteReference w:id="188"/>
      </w:r>
      <w:r w:rsidRPr="00716193">
        <w:t>. От членовете на комисията са подписани изискуемите декларации за липса на обстоятелствата по чл. 35, ал. 1 и ал. 2 от ЗОП.</w:t>
      </w:r>
    </w:p>
    <w:p w:rsidR="000C097A" w:rsidRPr="00716193" w:rsidRDefault="000C097A" w:rsidP="000C097A">
      <w:pPr>
        <w:ind w:firstLine="708"/>
        <w:jc w:val="both"/>
      </w:pPr>
      <w:r w:rsidRPr="00716193">
        <w:t>За резултатите от работата на комисията са съставени протоколи, подписани от всички членове, в които са отразени извършените действия и взети решения.</w:t>
      </w:r>
      <w:r w:rsidRPr="00716193">
        <w:rPr>
          <w:rStyle w:val="FootnoteReference"/>
        </w:rPr>
        <w:t xml:space="preserve"> </w:t>
      </w:r>
      <w:r w:rsidRPr="00716193">
        <w:rPr>
          <w:rStyle w:val="FootnoteReference"/>
        </w:rPr>
        <w:footnoteReference w:id="189"/>
      </w:r>
      <w:r w:rsidRPr="00716193">
        <w:t xml:space="preserve"> </w:t>
      </w:r>
    </w:p>
    <w:p w:rsidR="000C097A" w:rsidRPr="00716193" w:rsidRDefault="000C097A" w:rsidP="000C097A">
      <w:pPr>
        <w:ind w:firstLine="708"/>
        <w:jc w:val="both"/>
      </w:pPr>
      <w:r w:rsidRPr="00716193">
        <w:t>С мотивирано решение на изпълнителния директор на „НСБ“ ЕАД е обявено класирането на един участник, определен за изпълнител на обществената поръчка.</w:t>
      </w:r>
      <w:r w:rsidRPr="00716193">
        <w:rPr>
          <w:rStyle w:val="FootnoteReference"/>
        </w:rPr>
        <w:footnoteReference w:id="190"/>
      </w:r>
      <w:r w:rsidRPr="00716193">
        <w:t xml:space="preserve"> Решението съдържа мотиви относно отстраняването на участник, въз основа на установените от комисията обстоятелства.</w:t>
      </w:r>
      <w:r w:rsidRPr="00716193">
        <w:rPr>
          <w:rStyle w:val="FootnoteReference"/>
        </w:rPr>
        <w:footnoteReference w:id="191"/>
      </w:r>
      <w:r w:rsidRPr="00716193">
        <w:t xml:space="preserve"> </w:t>
      </w:r>
    </w:p>
    <w:p w:rsidR="000C097A" w:rsidRPr="00716193" w:rsidRDefault="000C097A" w:rsidP="000C097A">
      <w:pPr>
        <w:tabs>
          <w:tab w:val="left" w:pos="709"/>
        </w:tabs>
        <w:ind w:left="34"/>
        <w:jc w:val="both"/>
      </w:pPr>
      <w:r w:rsidRPr="00716193">
        <w:tab/>
        <w:t>Към момента на одита е установено, че гаранцията за участие на отстранения участник от процедурата е възстановена след законоустановения срок в чл. 62, ал. 1, т. 1 от ЗОП.</w:t>
      </w:r>
      <w:r w:rsidRPr="00716193">
        <w:rPr>
          <w:rStyle w:val="FootnoteReference"/>
        </w:rPr>
        <w:t xml:space="preserve"> </w:t>
      </w:r>
      <w:r w:rsidRPr="00716193">
        <w:rPr>
          <w:rStyle w:val="FootnoteReference"/>
        </w:rPr>
        <w:footnoteReference w:id="192"/>
      </w:r>
    </w:p>
    <w:p w:rsidR="000C097A" w:rsidRPr="00716193" w:rsidRDefault="000C097A" w:rsidP="000C097A">
      <w:pPr>
        <w:ind w:firstLine="708"/>
        <w:jc w:val="both"/>
      </w:pPr>
      <w:r w:rsidRPr="00716193">
        <w:t>В резултат на проведената процедура е сключен договор с класирания на първо място участник, на стойност до 390 хил. лв., без ДДС, за срока на договора (3 г.).</w:t>
      </w:r>
      <w:r w:rsidRPr="00716193">
        <w:rPr>
          <w:rStyle w:val="FootnoteReference"/>
        </w:rPr>
        <w:footnoteReference w:id="193"/>
      </w:r>
      <w:r w:rsidRPr="00716193">
        <w:t xml:space="preserve"> Изплатените суми по договора към 31.12.2014 г., са в размер на 34 187 лв., с ДДС (без задължения по фактури в размер на 3 163 лв.).</w:t>
      </w:r>
      <w:r w:rsidRPr="00716193">
        <w:rPr>
          <w:rStyle w:val="FootnoteReference"/>
        </w:rPr>
        <w:footnoteReference w:id="194"/>
      </w:r>
      <w:r w:rsidRPr="00716193">
        <w:t xml:space="preserve"> </w:t>
      </w:r>
    </w:p>
    <w:p w:rsidR="000C097A" w:rsidRPr="00716193" w:rsidRDefault="000C097A" w:rsidP="000C097A">
      <w:pPr>
        <w:pStyle w:val="BodyText3"/>
        <w:keepNext/>
        <w:tabs>
          <w:tab w:val="left" w:pos="14742"/>
        </w:tabs>
        <w:spacing w:after="0"/>
        <w:ind w:firstLine="708"/>
        <w:jc w:val="both"/>
        <w:rPr>
          <w:rFonts w:ascii="Times New Roman" w:hAnsi="Times New Roman" w:cs="Times New Roman"/>
          <w:sz w:val="24"/>
          <w:szCs w:val="24"/>
        </w:rPr>
      </w:pPr>
      <w:r w:rsidRPr="00716193">
        <w:rPr>
          <w:rFonts w:ascii="Times New Roman" w:hAnsi="Times New Roman" w:cs="Times New Roman"/>
          <w:sz w:val="24"/>
          <w:szCs w:val="24"/>
        </w:rPr>
        <w:t xml:space="preserve">Информацията за сключения договор не е изпратена до АОП за вписване в РОП в законовия седемдневен срок, с което не са спазени изискванията на чл. 44, ал. 1 от </w:t>
      </w:r>
      <w:r w:rsidRPr="00716193">
        <w:rPr>
          <w:rFonts w:ascii="Times New Roman" w:hAnsi="Times New Roman" w:cs="Times New Roman"/>
          <w:sz w:val="24"/>
          <w:szCs w:val="24"/>
        </w:rPr>
        <w:br/>
        <w:t>ЗОП.</w:t>
      </w:r>
      <w:r w:rsidRPr="00716193">
        <w:rPr>
          <w:rStyle w:val="FootnoteReference"/>
          <w:rFonts w:ascii="Times New Roman" w:hAnsi="Times New Roman" w:cs="Times New Roman"/>
          <w:sz w:val="24"/>
          <w:szCs w:val="24"/>
        </w:rPr>
        <w:t xml:space="preserve"> </w:t>
      </w:r>
      <w:r w:rsidRPr="00716193">
        <w:rPr>
          <w:rStyle w:val="FootnoteReference"/>
          <w:rFonts w:ascii="Times New Roman" w:hAnsi="Times New Roman" w:cs="Times New Roman"/>
          <w:sz w:val="24"/>
          <w:szCs w:val="24"/>
        </w:rPr>
        <w:footnoteReference w:id="195"/>
      </w:r>
      <w:r w:rsidRPr="00716193">
        <w:rPr>
          <w:rFonts w:ascii="Times New Roman" w:hAnsi="Times New Roman" w:cs="Times New Roman"/>
          <w:vertAlign w:val="superscript"/>
        </w:rPr>
        <w:t>,</w:t>
      </w:r>
      <w:r w:rsidRPr="00716193">
        <w:rPr>
          <w:rStyle w:val="FootnoteReference"/>
          <w:rFonts w:ascii="Times New Roman" w:hAnsi="Times New Roman" w:cs="Times New Roman"/>
          <w:sz w:val="24"/>
          <w:szCs w:val="24"/>
        </w:rPr>
        <w:footnoteReference w:id="196"/>
      </w:r>
    </w:p>
    <w:p w:rsidR="000C097A" w:rsidRPr="00716193" w:rsidRDefault="000C097A" w:rsidP="000C097A">
      <w:pPr>
        <w:ind w:firstLine="708"/>
        <w:jc w:val="both"/>
        <w:rPr>
          <w:b/>
        </w:rPr>
      </w:pPr>
      <w:r w:rsidRPr="00716193">
        <w:t>В останалата част откритата процедура по възлагането на обществена поръчка по реда на ЗОП е проведена в съответствие с изискванията на закона.</w:t>
      </w:r>
    </w:p>
    <w:p w:rsidR="000C097A" w:rsidRPr="00716193" w:rsidRDefault="000C097A" w:rsidP="000C097A">
      <w:pPr>
        <w:jc w:val="both"/>
        <w:rPr>
          <w:b/>
          <w:highlight w:val="yellow"/>
        </w:rPr>
      </w:pPr>
    </w:p>
    <w:p w:rsidR="000C097A" w:rsidRPr="00716193" w:rsidRDefault="000C097A" w:rsidP="000C097A">
      <w:pPr>
        <w:ind w:firstLine="708"/>
        <w:jc w:val="both"/>
        <w:rPr>
          <w:b/>
        </w:rPr>
      </w:pPr>
      <w:r w:rsidRPr="00716193">
        <w:rPr>
          <w:b/>
        </w:rPr>
        <w:t xml:space="preserve">3.2. Открита процедура с предмет „Доставка, монтаж и пускане в редовна експлоатация на публична информационно-рекламна система от пълноцветни светодиодни екрани на Национален стадион „Васил Левски“, звено в „Национална спортна база“ ЕАД”, публикувана в РОП към АОП с УИН 04324-2014-0002 и на профила на купувача на „НСБ“ ЕАД, приключила с решение за прекратяване </w:t>
      </w:r>
    </w:p>
    <w:p w:rsidR="000C097A" w:rsidRPr="00716193" w:rsidRDefault="000C097A" w:rsidP="000C097A">
      <w:pPr>
        <w:ind w:firstLine="708"/>
        <w:jc w:val="both"/>
      </w:pPr>
      <w:r w:rsidRPr="00716193">
        <w:t>Процедурата е открита с решение на изпълнителния директор на „НСБ“ ЕАД</w:t>
      </w:r>
      <w:r w:rsidRPr="00716193">
        <w:rPr>
          <w:rStyle w:val="FootnoteReference"/>
        </w:rPr>
        <w:footnoteReference w:id="197"/>
      </w:r>
      <w:r w:rsidRPr="00716193">
        <w:t>, с което са одобрени обявлението за обществена поръчка и документацията за участие. Поръчката е следвало да се финансира със собствени средства на дружеството. Прогнозната стойност на поръчката е 1 700 хил. лв., без ДДС.</w:t>
      </w:r>
    </w:p>
    <w:p w:rsidR="000C097A" w:rsidRPr="00716193" w:rsidRDefault="000C097A" w:rsidP="000C097A">
      <w:pPr>
        <w:ind w:firstLine="708"/>
        <w:jc w:val="both"/>
      </w:pPr>
      <w:r w:rsidRPr="00716193">
        <w:t>Във връзка с провежданата процедура са постъпили две искания за разяснения от кандидати. По едно от исканията възложителят е предоставил отговор с 2-дневна забава, поради което до крайния срок за подаване на оферти са останали по-малко от 6 дни. В изпълнение на изискването на закона, срокът за подаване на оферти е удължен. Отговорите и по двете искания за разяснения не са изпратени на всички лица, които са посочили адрес за кореспонденция, но са публикувани в профила на купувача.</w:t>
      </w:r>
      <w:r w:rsidRPr="00716193">
        <w:rPr>
          <w:rStyle w:val="FootnoteReference"/>
        </w:rPr>
        <w:footnoteReference w:id="198"/>
      </w:r>
      <w:r w:rsidRPr="00716193">
        <w:t xml:space="preserve"> </w:t>
      </w:r>
    </w:p>
    <w:p w:rsidR="000C097A" w:rsidRPr="00716193" w:rsidRDefault="000C097A" w:rsidP="000C097A">
      <w:pPr>
        <w:ind w:firstLine="708"/>
        <w:jc w:val="both"/>
      </w:pPr>
      <w:r w:rsidRPr="00716193">
        <w:lastRenderedPageBreak/>
        <w:t>Със заповед на изпълнителния директор на „НСБ“ ЕАД е назначена комисия за провеждане на процедурата за обществената поръчка.</w:t>
      </w:r>
      <w:r w:rsidRPr="00716193">
        <w:rPr>
          <w:rStyle w:val="FootnoteReference"/>
        </w:rPr>
        <w:footnoteReference w:id="199"/>
      </w:r>
      <w:r w:rsidRPr="00716193">
        <w:t xml:space="preserve"> От членовете на комисията са подписани изискуемите декларации за липса на обстоятелствата по чл. 35, ал. 1 и ал. 2 от ЗОП.</w:t>
      </w:r>
    </w:p>
    <w:p w:rsidR="000C097A" w:rsidRPr="00716193" w:rsidRDefault="000C097A" w:rsidP="000C097A">
      <w:pPr>
        <w:ind w:firstLine="708"/>
        <w:jc w:val="both"/>
      </w:pPr>
      <w:r w:rsidRPr="00716193">
        <w:t>За резултатите от работата на комисията са съставени протоколи, подписани от всички членове, в които са отразени извършените действия и взети решения. Извършени са действия по преглед на подадените от участниците документи за подбор, изискани са допълнителни документи, които участниците са представили в определения от възложителя срок. Не е извършена оценка по критериите и показателите за оценка на офертите.</w:t>
      </w:r>
      <w:r w:rsidRPr="00716193">
        <w:rPr>
          <w:rStyle w:val="FootnoteReference"/>
        </w:rPr>
        <w:footnoteReference w:id="200"/>
      </w:r>
      <w:r w:rsidRPr="00716193">
        <w:t xml:space="preserve"> </w:t>
      </w:r>
    </w:p>
    <w:p w:rsidR="000C097A" w:rsidRPr="00716193" w:rsidRDefault="000C097A" w:rsidP="000C097A">
      <w:pPr>
        <w:ind w:firstLine="708"/>
        <w:jc w:val="both"/>
      </w:pPr>
      <w:r w:rsidRPr="00716193">
        <w:t>В хода на откритата процедура възложителят е установил невъзможност за финансирането й по причини, които не е могъл да предвиди</w:t>
      </w:r>
      <w:r w:rsidRPr="00716193">
        <w:rPr>
          <w:rStyle w:val="FootnoteReference"/>
        </w:rPr>
        <w:footnoteReference w:id="201"/>
      </w:r>
      <w:r w:rsidRPr="00716193">
        <w:t>. На основание чл. 24, ал. 2 от Устава на дружеството, изпълнителният директор на „НСБ“ ЕАД е издал заповед за прекратяване на процедурата по възлагане на обществена поръчка УИН 04324-2014-0002.</w:t>
      </w:r>
      <w:r w:rsidRPr="00716193">
        <w:rPr>
          <w:rStyle w:val="FootnoteReference"/>
        </w:rPr>
        <w:footnoteReference w:id="202"/>
      </w:r>
      <w:r w:rsidRPr="00716193">
        <w:t xml:space="preserve"> Въз основа на взетите решения и установената от възложителя невъзможност за осигуряване на средства за финансиране за изпълнението на поръчката, на основание </w:t>
      </w:r>
      <w:r w:rsidRPr="00716193">
        <w:br/>
        <w:t>чл. 39, ал. 1, т. 5 от ЗОП, възложителят е изготвил Решение за прекратяване на процедура по възлагане на обществена поръчка, което е изпратено за публикуване в РОП и е публикувано на профила на купувача.</w:t>
      </w:r>
      <w:r w:rsidRPr="00716193">
        <w:rPr>
          <w:rStyle w:val="FootnoteReference"/>
        </w:rPr>
        <w:footnoteReference w:id="203"/>
      </w:r>
    </w:p>
    <w:p w:rsidR="000C097A" w:rsidRPr="00716193" w:rsidRDefault="000C097A" w:rsidP="000C097A">
      <w:pPr>
        <w:ind w:firstLine="708"/>
        <w:jc w:val="both"/>
      </w:pPr>
      <w:r w:rsidRPr="00716193">
        <w:t>По време на одита е установено, че до участниците в процедурата не е изпратено уведомление за прекратяването й, което е нарушен чл. 39, ал. 3 от ЗОП.</w:t>
      </w:r>
      <w:r w:rsidRPr="00716193">
        <w:rPr>
          <w:rStyle w:val="FootnoteReference"/>
        </w:rPr>
        <w:footnoteReference w:id="204"/>
      </w:r>
      <w:r w:rsidRPr="00716193">
        <w:t xml:space="preserve"> Решението за прекратяване на процедурата е публикувано в профила на купувача и в РОП, което не удовлетворява в пълна степен изискването на закона.</w:t>
      </w:r>
      <w:r w:rsidRPr="00716193">
        <w:rPr>
          <w:rStyle w:val="FootnoteReference"/>
        </w:rPr>
        <w:footnoteReference w:id="205"/>
      </w:r>
      <w:r w:rsidRPr="00716193">
        <w:t xml:space="preserve"> Изпращането на уведомлението и получаването му от участниците в процедурата е свързано с обжалването му пред специализираната юрисдикция, компетентна да упражни контрол за законосъобразността за прекратяването на поръчката, при сезиране от страна на участник. От момента на получаването на уведомлението за прекратяване започва да тече срокът за обжалване по чл. 120, ал. 5, т. 4 от ЗОП. В случая на неизпращане на уведомлението за прекратяване, срокът за обжалване не е започнал да тече, като това от една страна ограничава възможността на заинтересованите участници да упражнят правото си на защита срещу незаконосъобразни действия на възложителя, а от друга - препятства влизането в сила на решението на прекратяване.</w:t>
      </w:r>
    </w:p>
    <w:p w:rsidR="000C097A" w:rsidRPr="00716193" w:rsidRDefault="000C097A" w:rsidP="000C097A">
      <w:pPr>
        <w:ind w:firstLine="708"/>
        <w:jc w:val="both"/>
      </w:pPr>
      <w:r w:rsidRPr="00716193">
        <w:t>Гаранциите за участие в процедурата са възстановени на участниците по време на одита.</w:t>
      </w:r>
      <w:r w:rsidRPr="00716193">
        <w:rPr>
          <w:rStyle w:val="FootnoteReference"/>
        </w:rPr>
        <w:t xml:space="preserve"> </w:t>
      </w:r>
      <w:r w:rsidRPr="00716193">
        <w:rPr>
          <w:rStyle w:val="FootnoteReference"/>
        </w:rPr>
        <w:footnoteReference w:id="206"/>
      </w:r>
    </w:p>
    <w:p w:rsidR="000C097A" w:rsidRPr="00716193" w:rsidRDefault="000C097A" w:rsidP="000C097A">
      <w:pPr>
        <w:ind w:firstLine="709"/>
        <w:jc w:val="both"/>
      </w:pPr>
      <w:r w:rsidRPr="00716193">
        <w:t>В останалата част откритата процедура по възлагането на обществена поръчка е проведена в съответствие с изискванията на ЗОП.</w:t>
      </w:r>
    </w:p>
    <w:p w:rsidR="00384B46" w:rsidRPr="00716193" w:rsidRDefault="000C097A" w:rsidP="000C097A">
      <w:pPr>
        <w:tabs>
          <w:tab w:val="left" w:pos="720"/>
        </w:tabs>
        <w:jc w:val="both"/>
        <w:rPr>
          <w:i/>
        </w:rPr>
      </w:pPr>
      <w:r w:rsidRPr="00716193">
        <w:rPr>
          <w:i/>
        </w:rPr>
        <w:tab/>
      </w:r>
    </w:p>
    <w:p w:rsidR="000C097A" w:rsidRPr="00716193" w:rsidRDefault="00384B46" w:rsidP="000C097A">
      <w:pPr>
        <w:tabs>
          <w:tab w:val="left" w:pos="720"/>
        </w:tabs>
        <w:jc w:val="both"/>
        <w:rPr>
          <w:i/>
        </w:rPr>
      </w:pPr>
      <w:r w:rsidRPr="00716193">
        <w:rPr>
          <w:i/>
        </w:rPr>
        <w:tab/>
      </w:r>
      <w:r w:rsidR="000C097A" w:rsidRPr="00716193">
        <w:rPr>
          <w:i/>
        </w:rPr>
        <w:t>Взети са управленски решения, които са в несъответствие по съществени аспекти на дейността по провеждане на процедури за възлагане на обществени поръчки по реда на ЗОП.</w:t>
      </w:r>
      <w:r w:rsidR="000C097A" w:rsidRPr="00716193">
        <w:rPr>
          <w:i/>
        </w:rPr>
        <w:tab/>
      </w:r>
    </w:p>
    <w:p w:rsidR="000C097A" w:rsidRPr="00716193" w:rsidRDefault="000C097A" w:rsidP="000C097A">
      <w:pPr>
        <w:tabs>
          <w:tab w:val="left" w:pos="720"/>
          <w:tab w:val="left" w:pos="9360"/>
        </w:tabs>
        <w:jc w:val="both"/>
        <w:rPr>
          <w:i/>
        </w:rPr>
      </w:pPr>
      <w:r w:rsidRPr="00716193">
        <w:rPr>
          <w:i/>
        </w:rPr>
        <w:tab/>
        <w:t xml:space="preserve">Допуснати са съществени отклонения от действащото законодателство в областта на обществените поръчки, които не са оказали влияние върху законосъобразния </w:t>
      </w:r>
      <w:r w:rsidRPr="00716193">
        <w:rPr>
          <w:i/>
        </w:rPr>
        <w:lastRenderedPageBreak/>
        <w:t>избор на изпълнител, като в законоустановения срок не е изпратена информация за един сключен договор до АОП, га</w:t>
      </w:r>
      <w:r w:rsidR="00D4766D" w:rsidRPr="00716193">
        <w:rPr>
          <w:i/>
        </w:rPr>
        <w:t xml:space="preserve">ранциите за участие </w:t>
      </w:r>
      <w:r w:rsidRPr="00716193">
        <w:rPr>
          <w:i/>
        </w:rPr>
        <w:t xml:space="preserve"> в процедурите са възстановени след законоустановения срок, до участниците в една от процедурите не е изпратено уведомление за прекратяването й.</w:t>
      </w:r>
    </w:p>
    <w:p w:rsidR="000C097A" w:rsidRPr="00716193" w:rsidRDefault="000C097A" w:rsidP="000C097A">
      <w:pPr>
        <w:tabs>
          <w:tab w:val="left" w:pos="720"/>
          <w:tab w:val="left" w:pos="9360"/>
        </w:tabs>
        <w:jc w:val="both"/>
        <w:rPr>
          <w:i/>
        </w:rPr>
      </w:pPr>
    </w:p>
    <w:p w:rsidR="000C097A" w:rsidRPr="00716193" w:rsidRDefault="000C097A" w:rsidP="000C097A">
      <w:pPr>
        <w:ind w:firstLine="708"/>
        <w:jc w:val="both"/>
        <w:rPr>
          <w:b/>
        </w:rPr>
      </w:pPr>
      <w:r w:rsidRPr="00716193">
        <w:rPr>
          <w:b/>
        </w:rPr>
        <w:t xml:space="preserve">4. Възлагане на обществени поръчки чрез публична покана </w:t>
      </w:r>
    </w:p>
    <w:p w:rsidR="000C097A" w:rsidRPr="00716193" w:rsidRDefault="000C097A" w:rsidP="000C097A">
      <w:pPr>
        <w:tabs>
          <w:tab w:val="left" w:pos="720"/>
          <w:tab w:val="left" w:pos="9360"/>
        </w:tabs>
        <w:ind w:firstLine="709"/>
        <w:jc w:val="both"/>
      </w:pPr>
      <w:r w:rsidRPr="00716193">
        <w:t>Проверени са две поръчки,</w:t>
      </w:r>
      <w:r w:rsidRPr="00716193">
        <w:rPr>
          <w:rStyle w:val="FootnoteReference"/>
        </w:rPr>
        <w:footnoteReference w:id="207"/>
      </w:r>
      <w:r w:rsidRPr="00716193">
        <w:t xml:space="preserve"> възложени чрез публична покана по реда на глава осма „а“ от ЗОП, като всяка от тях е приключила с договор/и за възлагане:</w:t>
      </w:r>
    </w:p>
    <w:p w:rsidR="000C097A" w:rsidRPr="00716193" w:rsidRDefault="000C097A" w:rsidP="000C097A">
      <w:pPr>
        <w:tabs>
          <w:tab w:val="left" w:pos="720"/>
        </w:tabs>
        <w:jc w:val="both"/>
      </w:pPr>
      <w:r w:rsidRPr="00716193">
        <w:rPr>
          <w:b/>
        </w:rPr>
        <w:tab/>
        <w:t>4.1.</w:t>
      </w:r>
      <w:r w:rsidRPr="00716193">
        <w:t xml:space="preserve"> Възлагане на обществена поръчка чрез публична покана по реда на глава осма „а“ от ЗОП</w:t>
      </w:r>
      <w:r w:rsidRPr="00716193">
        <w:rPr>
          <w:rStyle w:val="FootnoteReference"/>
        </w:rPr>
        <w:footnoteReference w:id="208"/>
      </w:r>
      <w:r w:rsidRPr="00716193">
        <w:t xml:space="preserve"> </w:t>
      </w:r>
      <w:r w:rsidRPr="00716193">
        <w:rPr>
          <w:b/>
        </w:rPr>
        <w:t xml:space="preserve">„Избор на обслужваща финансова и кредитна институция – Банка – </w:t>
      </w:r>
      <w:r w:rsidRPr="00716193">
        <w:rPr>
          <w:b/>
          <w:spacing w:val="-2"/>
        </w:rPr>
        <w:t>Изпълнител за предоставяне на финансови услуги: „Платежни и свързани услуги” и „Свободни парични средства – депозити”</w:t>
      </w:r>
      <w:r w:rsidRPr="00716193">
        <w:rPr>
          <w:spacing w:val="-2"/>
        </w:rPr>
        <w:t>, проведена през 2013 г.,</w:t>
      </w:r>
      <w:r w:rsidRPr="00716193">
        <w:t xml:space="preserve"> с прогнозна стойност 35 хил. лв.</w:t>
      </w:r>
      <w:r w:rsidRPr="00716193">
        <w:rPr>
          <w:rStyle w:val="FootnoteReference"/>
        </w:rPr>
        <w:footnoteReference w:id="209"/>
      </w:r>
      <w:r w:rsidRPr="00716193">
        <w:t xml:space="preserve"> Възлагането изисква прилагане и на специалните изисквания на Приложение № 3 от ПРУПДТДДУК. При извършената проверка е установено, че:</w:t>
      </w:r>
    </w:p>
    <w:p w:rsidR="000C097A" w:rsidRPr="00716193" w:rsidRDefault="000C097A" w:rsidP="000C097A">
      <w:pPr>
        <w:tabs>
          <w:tab w:val="left" w:pos="720"/>
        </w:tabs>
        <w:jc w:val="both"/>
      </w:pPr>
      <w:r w:rsidRPr="00716193">
        <w:tab/>
      </w:r>
      <w:r w:rsidRPr="00716193">
        <w:rPr>
          <w:b/>
        </w:rPr>
        <w:t>4.1.1.</w:t>
      </w:r>
      <w:r w:rsidRPr="00716193">
        <w:t xml:space="preserve"> </w:t>
      </w:r>
      <w:r w:rsidRPr="00716193">
        <w:rPr>
          <w:bCs/>
        </w:rPr>
        <w:t xml:space="preserve">Спазени са изискванията за избор при условията на публичност, прозрачност, свободна и лоялна конкуренция, равнопоставеност и пропорционалност; </w:t>
      </w:r>
      <w:r w:rsidRPr="00716193">
        <w:t xml:space="preserve"> </w:t>
      </w:r>
    </w:p>
    <w:p w:rsidR="000C097A" w:rsidRPr="00716193" w:rsidRDefault="000C097A" w:rsidP="000C097A">
      <w:pPr>
        <w:tabs>
          <w:tab w:val="left" w:pos="720"/>
        </w:tabs>
        <w:jc w:val="both"/>
      </w:pPr>
      <w:r w:rsidRPr="00716193">
        <w:tab/>
      </w:r>
      <w:r w:rsidRPr="00716193">
        <w:rPr>
          <w:b/>
        </w:rPr>
        <w:t>4.1.2.</w:t>
      </w:r>
      <w:r w:rsidRPr="00716193">
        <w:t xml:space="preserve"> Към момента на сключване на договорите със съответния изпълнител не са представени удостоверения по чл. 47, ал. 1, т. 1 от ЗОП за лицата по чл. 47, ал. 4 от ЗОП.</w:t>
      </w:r>
      <w:r w:rsidRPr="00716193">
        <w:rPr>
          <w:rStyle w:val="FootnoteReference"/>
        </w:rPr>
        <w:footnoteReference w:id="210"/>
      </w:r>
    </w:p>
    <w:p w:rsidR="000C097A" w:rsidRPr="00716193" w:rsidRDefault="000C097A" w:rsidP="000C097A">
      <w:pPr>
        <w:tabs>
          <w:tab w:val="left" w:pos="720"/>
          <w:tab w:val="left" w:pos="9360"/>
        </w:tabs>
        <w:jc w:val="both"/>
        <w:rPr>
          <w:i/>
        </w:rPr>
      </w:pPr>
      <w:r w:rsidRPr="00716193">
        <w:tab/>
      </w:r>
      <w:r w:rsidRPr="00716193">
        <w:rPr>
          <w:i/>
        </w:rPr>
        <w:t>Нарушена е разпоредбата на чл. 101е, ал. 2 от ЗОП.</w:t>
      </w:r>
      <w:r w:rsidRPr="00716193">
        <w:rPr>
          <w:rStyle w:val="FootnoteReference"/>
          <w:i/>
        </w:rPr>
        <w:footnoteReference w:id="211"/>
      </w:r>
      <w:r w:rsidRPr="00716193">
        <w:rPr>
          <w:i/>
        </w:rPr>
        <w:t xml:space="preserve"> В останалата си част възлагането е проведено в съответствие със ЗОП и ВПППВОП. </w:t>
      </w:r>
    </w:p>
    <w:p w:rsidR="000C097A" w:rsidRPr="00716193" w:rsidRDefault="000C097A" w:rsidP="000C097A">
      <w:pPr>
        <w:tabs>
          <w:tab w:val="left" w:pos="720"/>
          <w:tab w:val="left" w:pos="9360"/>
        </w:tabs>
        <w:ind w:firstLine="709"/>
        <w:jc w:val="both"/>
      </w:pPr>
    </w:p>
    <w:p w:rsidR="000C097A" w:rsidRPr="00716193" w:rsidRDefault="000C097A" w:rsidP="000C097A">
      <w:pPr>
        <w:tabs>
          <w:tab w:val="left" w:pos="720"/>
          <w:tab w:val="left" w:pos="9360"/>
        </w:tabs>
        <w:ind w:firstLine="709"/>
        <w:jc w:val="both"/>
      </w:pPr>
      <w:r w:rsidRPr="00716193">
        <w:rPr>
          <w:b/>
        </w:rPr>
        <w:t>4.2.</w:t>
      </w:r>
      <w:r w:rsidRPr="00716193">
        <w:t xml:space="preserve"> Възлагане на обществена поръчка чрез публична покана по реда на глава осма „а“ от ЗОП</w:t>
      </w:r>
      <w:r w:rsidRPr="00716193">
        <w:rPr>
          <w:rStyle w:val="FootnoteReference"/>
        </w:rPr>
        <w:footnoteReference w:id="212"/>
      </w:r>
      <w:r w:rsidRPr="00716193">
        <w:t xml:space="preserve"> </w:t>
      </w:r>
      <w:r w:rsidRPr="00716193">
        <w:rPr>
          <w:b/>
        </w:rPr>
        <w:t>„Осигуряване на достъпна среда за хора с увреждания на Хотел 1 на ВСК „Белмекен”</w:t>
      </w:r>
      <w:r w:rsidRPr="00716193">
        <w:t xml:space="preserve">, </w:t>
      </w:r>
      <w:r w:rsidRPr="00716193">
        <w:rPr>
          <w:b/>
        </w:rPr>
        <w:t>като се извършат следните дейности: изграждане и монтаж на външен асансьор към фоайето на хотела; ремонт на шест броя хотелски стаи, разположени на трето ниво; ремонт на санитарни възли, съблекални и бани, находящи се в зоната на спортния комплекс” с местоизпълнение: ВСК „Белмекен”, община Якоруда</w:t>
      </w:r>
      <w:r w:rsidRPr="00716193">
        <w:t>“, проведена</w:t>
      </w:r>
      <w:r w:rsidRPr="00716193">
        <w:rPr>
          <w:lang w:val="en-US"/>
        </w:rPr>
        <w:t xml:space="preserve"> </w:t>
      </w:r>
      <w:r w:rsidRPr="00716193">
        <w:t>през 2014 г., с прогнозна стойност 175 800 лв., без ДДС.</w:t>
      </w:r>
      <w:r w:rsidRPr="00716193">
        <w:rPr>
          <w:rStyle w:val="FootnoteReference"/>
        </w:rPr>
        <w:footnoteReference w:id="213"/>
      </w:r>
    </w:p>
    <w:p w:rsidR="000C097A" w:rsidRPr="00716193" w:rsidRDefault="000C097A" w:rsidP="000C097A">
      <w:pPr>
        <w:tabs>
          <w:tab w:val="left" w:pos="720"/>
          <w:tab w:val="left" w:pos="9360"/>
        </w:tabs>
        <w:ind w:firstLine="709"/>
        <w:jc w:val="both"/>
        <w:rPr>
          <w:i/>
        </w:rPr>
      </w:pPr>
      <w:r w:rsidRPr="00716193">
        <w:rPr>
          <w:i/>
        </w:rPr>
        <w:t>При проверката на възлагането не са установени несъответствия с правната рамка и договорите.</w:t>
      </w:r>
    </w:p>
    <w:p w:rsidR="000C097A" w:rsidRPr="00716193" w:rsidRDefault="000C097A" w:rsidP="000C097A">
      <w:pPr>
        <w:tabs>
          <w:tab w:val="left" w:pos="720"/>
          <w:tab w:val="left" w:pos="9360"/>
        </w:tabs>
        <w:ind w:firstLine="709"/>
        <w:jc w:val="both"/>
      </w:pPr>
      <w:r w:rsidRPr="00716193">
        <w:rPr>
          <w:b/>
        </w:rPr>
        <w:t>4.3.</w:t>
      </w:r>
      <w:r w:rsidRPr="00716193">
        <w:t xml:space="preserve"> Установени са несъответствия с правната рамка</w:t>
      </w:r>
      <w:r w:rsidRPr="00716193">
        <w:rPr>
          <w:lang w:val="en-US"/>
        </w:rPr>
        <w:t xml:space="preserve"> </w:t>
      </w:r>
      <w:r w:rsidRPr="00716193">
        <w:t>по отношение на изпращането на обобщената информация за възложените поръчки по чл. 14, ал. 4 и ал. 5 от ЗОП. За 2013 г. не е изпратена такава информация до АОП, в нарушение на чл. 44, ал. 10 от ЗОП.</w:t>
      </w:r>
      <w:r w:rsidRPr="00716193">
        <w:rPr>
          <w:rStyle w:val="FootnoteReference"/>
        </w:rPr>
        <w:footnoteReference w:id="214"/>
      </w:r>
      <w:r w:rsidRPr="00716193">
        <w:t xml:space="preserve"> </w:t>
      </w:r>
    </w:p>
    <w:p w:rsidR="000C097A" w:rsidRPr="00716193" w:rsidRDefault="000C097A" w:rsidP="000C097A">
      <w:pPr>
        <w:tabs>
          <w:tab w:val="left" w:pos="720"/>
          <w:tab w:val="left" w:pos="9360"/>
        </w:tabs>
        <w:jc w:val="both"/>
      </w:pPr>
      <w:r w:rsidRPr="00716193">
        <w:tab/>
        <w:t>Обобщената информация за възложените поръчки по чл. 14, ал. 4 и ал. 5 от ЗОП за 2014 г. е изпратена до АОП в нормативно определения срок.</w:t>
      </w:r>
      <w:r w:rsidRPr="00716193">
        <w:rPr>
          <w:rStyle w:val="FootnoteReference"/>
        </w:rPr>
        <w:footnoteReference w:id="215"/>
      </w:r>
      <w:r w:rsidRPr="00716193">
        <w:t xml:space="preserve"> Общата сума на изразходваните средства за поръчки на стойност по чл. 14, ал. 4 от ЗОП е в размер на </w:t>
      </w:r>
      <w:r w:rsidRPr="00716193">
        <w:br/>
        <w:t>187 453 лв.,</w:t>
      </w:r>
      <w:r w:rsidRPr="00716193">
        <w:rPr>
          <w:rStyle w:val="FootnoteReference"/>
          <w:b/>
        </w:rPr>
        <w:t xml:space="preserve"> </w:t>
      </w:r>
      <w:r w:rsidRPr="00716193">
        <w:t>без ДДС. При отразяване на стойностите в обобщената информация е допусната техническа грешка, за което е представено обяснение от одитирания обект.</w:t>
      </w:r>
      <w:r w:rsidRPr="00716193">
        <w:rPr>
          <w:rStyle w:val="FootnoteReference"/>
        </w:rPr>
        <w:footnoteReference w:id="216"/>
      </w:r>
      <w:r w:rsidRPr="00716193">
        <w:rPr>
          <w:rStyle w:val="FootnoteReference"/>
        </w:rPr>
        <w:t xml:space="preserve"> </w:t>
      </w:r>
      <w:r w:rsidRPr="00716193">
        <w:t xml:space="preserve">Разходваните </w:t>
      </w:r>
      <w:r w:rsidRPr="00716193">
        <w:lastRenderedPageBreak/>
        <w:t>средства за поръчки на стойност по чл. 14, ал. 5 от ЗОП са общо в размер на 1 488 460 лв., без ДДС.</w:t>
      </w:r>
      <w:r w:rsidRPr="00716193">
        <w:rPr>
          <w:rStyle w:val="FootnoteReference"/>
        </w:rPr>
        <w:footnoteReference w:id="217"/>
      </w:r>
    </w:p>
    <w:p w:rsidR="000C097A" w:rsidRPr="00716193" w:rsidRDefault="000C097A" w:rsidP="000C097A">
      <w:pPr>
        <w:tabs>
          <w:tab w:val="left" w:pos="720"/>
          <w:tab w:val="left" w:pos="9360"/>
        </w:tabs>
        <w:jc w:val="both"/>
      </w:pPr>
      <w:r w:rsidRPr="00716193">
        <w:tab/>
        <w:t>Общата прогнозна стойност на проверените възлагания на обществени поръчки чрез публична покана е 210 800 лв., без ДДС.</w:t>
      </w:r>
      <w:r w:rsidRPr="00716193">
        <w:rPr>
          <w:rStyle w:val="FootnoteReference"/>
        </w:rPr>
        <w:footnoteReference w:id="218"/>
      </w:r>
    </w:p>
    <w:p w:rsidR="000C097A" w:rsidRPr="00716193" w:rsidRDefault="000C097A" w:rsidP="000C097A">
      <w:pPr>
        <w:tabs>
          <w:tab w:val="left" w:pos="720"/>
        </w:tabs>
        <w:jc w:val="both"/>
        <w:rPr>
          <w:i/>
        </w:rPr>
      </w:pPr>
    </w:p>
    <w:p w:rsidR="000C097A" w:rsidRPr="00716193" w:rsidRDefault="000C097A" w:rsidP="000C097A">
      <w:pPr>
        <w:tabs>
          <w:tab w:val="left" w:pos="720"/>
        </w:tabs>
        <w:jc w:val="both"/>
      </w:pPr>
      <w:r w:rsidRPr="00716193">
        <w:rPr>
          <w:color w:val="FF0000"/>
        </w:rPr>
        <w:tab/>
      </w:r>
      <w:r w:rsidRPr="00716193">
        <w:rPr>
          <w:i/>
        </w:rPr>
        <w:t xml:space="preserve">Управленските решения при възлагането на обществени поръчки чрез публична покана по реда на глава осма „а“ от ЗОП са в несъответствие с нормативните изисквания и въведения с вътрешните актове ред по следните съществени аспекти: неизпращане от възложителя на обобщената информация за възложените поръчки по чл. 14, ал. 4 и ал. 5 от ЗОП за 2013 г. и непредставяне на удостоверения по чл. 47, ал. 1, </w:t>
      </w:r>
      <w:r w:rsidR="00384B46" w:rsidRPr="00716193">
        <w:rPr>
          <w:i/>
        </w:rPr>
        <w:br/>
      </w:r>
      <w:r w:rsidRPr="00716193">
        <w:rPr>
          <w:i/>
        </w:rPr>
        <w:t>т. 1 от ЗОП за лицата по чл. 47, ал. 4 от същия закон при сключване на договори със съответните изпълнители.</w:t>
      </w:r>
      <w:r w:rsidRPr="00716193">
        <w:t xml:space="preserve"> </w:t>
      </w:r>
    </w:p>
    <w:p w:rsidR="000C097A" w:rsidRPr="00716193" w:rsidRDefault="000C097A" w:rsidP="000C097A">
      <w:pPr>
        <w:tabs>
          <w:tab w:val="left" w:pos="720"/>
          <w:tab w:val="left" w:pos="9360"/>
        </w:tabs>
        <w:jc w:val="both"/>
        <w:rPr>
          <w:u w:val="single"/>
        </w:rPr>
      </w:pPr>
      <w:r w:rsidRPr="00716193">
        <w:rPr>
          <w:i/>
        </w:rPr>
        <w:t xml:space="preserve"> </w:t>
      </w:r>
    </w:p>
    <w:p w:rsidR="000C097A" w:rsidRPr="00716193" w:rsidRDefault="000C097A" w:rsidP="000C097A">
      <w:pPr>
        <w:tabs>
          <w:tab w:val="left" w:pos="720"/>
        </w:tabs>
        <w:ind w:firstLine="720"/>
        <w:jc w:val="both"/>
        <w:rPr>
          <w:b/>
        </w:rPr>
      </w:pPr>
      <w:r w:rsidRPr="00716193">
        <w:rPr>
          <w:b/>
        </w:rPr>
        <w:t>5. Непроведени обществени поръчки</w:t>
      </w:r>
    </w:p>
    <w:p w:rsidR="000C097A" w:rsidRPr="00716193" w:rsidRDefault="000C097A" w:rsidP="000C097A">
      <w:pPr>
        <w:tabs>
          <w:tab w:val="left" w:pos="720"/>
        </w:tabs>
        <w:ind w:firstLine="720"/>
        <w:jc w:val="both"/>
      </w:pPr>
      <w:r w:rsidRPr="00716193">
        <w:t>Съгласно чл. 14 от ЗОП определеният ред по закона се прилага задължително при възлагане на обществени поръчки с обект по чл. 3, ал. 1 от същия закон при съответните стойности, посочени в цитираната правна норма. В чл. 14, ал. 1 от ВПППВОП, в сила от 01.03.2013 г., е въведено изрично задължението на възложителя да проведе процедура за възлагане на обществена поръчка винаги, когато са налице законовите предпоставки за това, при спазване разпоредбите на ЗОП и относимата нормативна уредба.</w:t>
      </w:r>
      <w:r w:rsidRPr="00716193">
        <w:rPr>
          <w:rStyle w:val="FootnoteReference"/>
        </w:rPr>
        <w:footnoteReference w:id="219"/>
      </w:r>
      <w:r w:rsidRPr="00716193">
        <w:rPr>
          <w:rStyle w:val="FootnoteReference"/>
        </w:rPr>
        <w:t xml:space="preserve"> </w:t>
      </w:r>
      <w:r w:rsidRPr="00716193">
        <w:t>До приемането на вътрешните правила е определен вътрешен ред за провеждане на процедури за доставки, предоставяне на услуги и извършване на СМР за нуждите на „НСБ” ЕАД със Заповед № 11-001478-2/23.06.2011 г., на изпълнителния директор на дружеството, в сила от 25.07.2011 г.</w:t>
      </w:r>
      <w:r w:rsidRPr="00716193">
        <w:rPr>
          <w:rStyle w:val="FootnoteReference"/>
        </w:rPr>
        <w:footnoteReference w:id="220"/>
      </w:r>
    </w:p>
    <w:p w:rsidR="000C097A" w:rsidRPr="00716193" w:rsidRDefault="000C097A" w:rsidP="000C097A">
      <w:pPr>
        <w:ind w:firstLine="708"/>
        <w:jc w:val="both"/>
      </w:pPr>
      <w:r w:rsidRPr="00716193">
        <w:t xml:space="preserve">В резултат на извършен одитен ангажимент за даване на увереност на тема: „Анализ и оценка на управленските решения, свързани с управление на активите и финансовите средства и законосъобразност на възложените обществени поръчки в „НСБ“ ЕАД“, за периода от 01.01.2013 г. до 31.08.2014 г., са разгледани управленските решения, свързани с организацията на дейността по доставки, услуги и възлагане на строително-монтажни дейности. Със заповед на Агенцията за държавна финансова инспекция е възложена проверка за законосъобразност на извършените разходи по сключени през </w:t>
      </w:r>
      <w:r w:rsidRPr="00716193">
        <w:br/>
        <w:t>2014 г. договори за строителство от „НСБ” ЕАД, изброени подробно в заповедта, които са изключени от обхвата на одита на етап планиране.</w:t>
      </w:r>
      <w:r w:rsidRPr="00716193">
        <w:rPr>
          <w:rStyle w:val="FootnoteReference"/>
        </w:rPr>
        <w:t xml:space="preserve"> </w:t>
      </w:r>
      <w:r w:rsidRPr="00716193">
        <w:rPr>
          <w:rStyle w:val="FootnoteReference"/>
        </w:rPr>
        <w:footnoteReference w:id="221"/>
      </w:r>
    </w:p>
    <w:p w:rsidR="000C097A" w:rsidRPr="00716193" w:rsidRDefault="000C097A" w:rsidP="000C097A">
      <w:pPr>
        <w:tabs>
          <w:tab w:val="left" w:pos="9354"/>
        </w:tabs>
        <w:ind w:right="-6" w:firstLine="709"/>
        <w:jc w:val="both"/>
      </w:pPr>
      <w:r w:rsidRPr="00716193">
        <w:t>При проверката и анализа на сключени през одитирания период договори, счетоводни документи, платежни нареждания, чрез които са доказани извършени разходи за доставки, услуги и строително - монтажни работи за нуждите на „НСБ” ЕАД</w:t>
      </w:r>
      <w:r w:rsidRPr="00716193">
        <w:rPr>
          <w:rStyle w:val="FootnoteReference"/>
        </w:rPr>
        <w:footnoteReference w:id="222"/>
      </w:r>
      <w:r w:rsidRPr="00716193">
        <w:t xml:space="preserve">, е установено, че през одитирания период са поети задължения и са извършени разходи без да са проведени обществени поръчки по регламентирания ред, въпреки че са </w:t>
      </w:r>
      <w:r w:rsidR="003F447C" w:rsidRPr="00716193">
        <w:t>били налице основанията за това</w:t>
      </w:r>
      <w:r w:rsidRPr="00716193">
        <w:t>:</w:t>
      </w:r>
    </w:p>
    <w:p w:rsidR="000C097A" w:rsidRPr="00716193" w:rsidRDefault="000C097A" w:rsidP="000C097A">
      <w:pPr>
        <w:tabs>
          <w:tab w:val="left" w:pos="9354"/>
        </w:tabs>
        <w:ind w:right="-6" w:firstLine="709"/>
        <w:jc w:val="both"/>
      </w:pPr>
      <w:r w:rsidRPr="00716193">
        <w:rPr>
          <w:b/>
        </w:rPr>
        <w:t xml:space="preserve">5.1. </w:t>
      </w:r>
      <w:r w:rsidRPr="00716193">
        <w:t xml:space="preserve">За доставка на хетерогенна настилка за нуждите на МФСЗ „Арена Армеец София“, в количество от 2000 (две хил.) кв. метра, е сключен Договор № 12-001770-1/01.02.2013 г. на стойност 24 760 лв., без ДДС, при условията на свободно договаряне. </w:t>
      </w:r>
    </w:p>
    <w:p w:rsidR="000C097A" w:rsidRPr="00716193" w:rsidRDefault="000C097A" w:rsidP="000C097A">
      <w:pPr>
        <w:ind w:firstLine="708"/>
        <w:jc w:val="both"/>
      </w:pPr>
      <w:r w:rsidRPr="00716193">
        <w:lastRenderedPageBreak/>
        <w:t xml:space="preserve">Стойността на извършените разходи към изпълнителя по договора е 24 760 лв., без ДДС, без да е проведен избор на изпълнител чрез публична покана по реда на глава осма „а” от ЗОП, при наличие на предпоставки и основания за това. </w:t>
      </w:r>
    </w:p>
    <w:p w:rsidR="000C097A" w:rsidRPr="00716193" w:rsidRDefault="000C097A" w:rsidP="000C097A">
      <w:pPr>
        <w:tabs>
          <w:tab w:val="left" w:pos="9354"/>
        </w:tabs>
        <w:ind w:right="-6" w:firstLine="709"/>
        <w:jc w:val="both"/>
      </w:pPr>
      <w:r w:rsidRPr="00716193">
        <w:t>Нарушени са разпоредбите на чл. 101а от ЗОП,</w:t>
      </w:r>
      <w:r w:rsidRPr="00716193">
        <w:rPr>
          <w:color w:val="000000"/>
        </w:rPr>
        <w:t xml:space="preserve"> във връзка с чл. 14, ал. 4, т. 2 от ЗОП</w:t>
      </w:r>
      <w:r w:rsidRPr="00716193">
        <w:rPr>
          <w:rStyle w:val="FootnoteReference"/>
        </w:rPr>
        <w:footnoteReference w:id="223"/>
      </w:r>
    </w:p>
    <w:p w:rsidR="000C097A" w:rsidRPr="00716193" w:rsidRDefault="000C097A" w:rsidP="000C097A">
      <w:pPr>
        <w:tabs>
          <w:tab w:val="left" w:pos="9354"/>
        </w:tabs>
        <w:ind w:right="-6" w:firstLine="709"/>
        <w:jc w:val="both"/>
      </w:pPr>
      <w:r w:rsidRPr="00716193">
        <w:rPr>
          <w:b/>
        </w:rPr>
        <w:t>5.2.</w:t>
      </w:r>
      <w:r w:rsidRPr="00716193">
        <w:t xml:space="preserve"> </w:t>
      </w:r>
      <w:r w:rsidRPr="00716193">
        <w:rPr>
          <w:bCs/>
        </w:rPr>
        <w:t xml:space="preserve">Съгласно </w:t>
      </w:r>
      <w:r w:rsidRPr="00716193">
        <w:t>Договор №</w:t>
      </w:r>
      <w:r w:rsidRPr="00716193">
        <w:rPr>
          <w:bCs/>
        </w:rPr>
        <w:t xml:space="preserve"> </w:t>
      </w:r>
      <w:r w:rsidRPr="00716193">
        <w:t xml:space="preserve">13-ЗОП-05-25-1/14.10.2013 г., на стойност  59 501,19 лв., без ДДС, и Договор № 13-892-1/28.10.2013 г., на стойност 59 760,62 лв., без ДДС, сключени с един и същ изпълнител, са извършени разходи за частични вътрешни и външни планови и текущи ремонти на покриви, стрехи и други дейности на обекти на „НСБ” ЕАД (НСБ „Раковски” – гр. София и ВСК „Белмекен“), при условията на свободно договаряне. </w:t>
      </w:r>
    </w:p>
    <w:p w:rsidR="000C097A" w:rsidRPr="00716193" w:rsidRDefault="000C097A" w:rsidP="000C097A">
      <w:pPr>
        <w:ind w:firstLine="708"/>
        <w:jc w:val="both"/>
      </w:pPr>
      <w:r w:rsidRPr="00716193">
        <w:rPr>
          <w:spacing w:val="4"/>
        </w:rPr>
        <w:t xml:space="preserve">Общата </w:t>
      </w:r>
      <w:r w:rsidRPr="00716193">
        <w:t xml:space="preserve">стойност на извършените и изплатени разходи към изпълнителя е в размер на 119 261,81 лв., без ДДС, без да е проведен избор на изпълнител чрез публична покана по реда на глава осма „а” от ЗОП, при наличие на предпоставки и основания за това. </w:t>
      </w:r>
    </w:p>
    <w:p w:rsidR="000C097A" w:rsidRPr="00716193" w:rsidRDefault="000C097A" w:rsidP="000C097A">
      <w:pPr>
        <w:tabs>
          <w:tab w:val="left" w:pos="9354"/>
        </w:tabs>
        <w:ind w:right="-6" w:firstLine="709"/>
        <w:jc w:val="both"/>
      </w:pPr>
      <w:r w:rsidRPr="00716193">
        <w:t>Извършено е нарушение на чл. 101а от ЗОП,</w:t>
      </w:r>
      <w:r w:rsidRPr="00716193">
        <w:rPr>
          <w:color w:val="000000"/>
        </w:rPr>
        <w:t xml:space="preserve"> във връзка с чл. 14, ал. 4, т. 1 от ЗОП</w:t>
      </w:r>
      <w:r w:rsidRPr="00716193">
        <w:t>.</w:t>
      </w:r>
      <w:r w:rsidRPr="00716193">
        <w:rPr>
          <w:rStyle w:val="FootnoteReference"/>
        </w:rPr>
        <w:footnoteReference w:id="224"/>
      </w:r>
    </w:p>
    <w:p w:rsidR="000C097A" w:rsidRPr="00716193" w:rsidRDefault="000C097A" w:rsidP="000C097A">
      <w:pPr>
        <w:tabs>
          <w:tab w:val="left" w:pos="9354"/>
        </w:tabs>
        <w:ind w:right="-6" w:firstLine="709"/>
        <w:jc w:val="both"/>
      </w:pPr>
      <w:r w:rsidRPr="00716193">
        <w:rPr>
          <w:b/>
        </w:rPr>
        <w:t>5.3.</w:t>
      </w:r>
      <w:r w:rsidRPr="00716193">
        <w:t xml:space="preserve"> За изработка, персонализация и доставка на 10 000 (десет хиляди) бр. бели пластмасови карти за идентификация и 1000 (хиляда) бр. бели безконтактни RFID карти за нуждите на „НСБ” ЕАД е сключен Договор № 12-002408-1</w:t>
      </w:r>
      <w:r w:rsidR="00E32BA9">
        <w:t xml:space="preserve"> от </w:t>
      </w:r>
      <w:r w:rsidRPr="00716193">
        <w:t xml:space="preserve">19.02.2013 г. на стойност </w:t>
      </w:r>
      <w:r w:rsidRPr="00716193">
        <w:br/>
        <w:t xml:space="preserve">40 366, 67 лв., без ДДС, при условията на свободно договаряне. </w:t>
      </w:r>
    </w:p>
    <w:p w:rsidR="000C097A" w:rsidRPr="00716193" w:rsidRDefault="000C097A" w:rsidP="000C097A">
      <w:pPr>
        <w:tabs>
          <w:tab w:val="left" w:pos="9354"/>
        </w:tabs>
        <w:ind w:right="-6" w:firstLine="709"/>
        <w:jc w:val="both"/>
      </w:pPr>
      <w:r w:rsidRPr="00716193">
        <w:t xml:space="preserve">Съгласно договора са извършени и заплатени разходи в размер на 40 366, 67 лв., без ДДС, без да е проведен избор на изпълнител чрез публична покана по реда на глава осма „а” от ЗОП, при наличие на предпоставки и основания за това. </w:t>
      </w:r>
    </w:p>
    <w:p w:rsidR="000C097A" w:rsidRPr="00716193" w:rsidRDefault="000C097A" w:rsidP="000C097A">
      <w:pPr>
        <w:tabs>
          <w:tab w:val="left" w:pos="9354"/>
        </w:tabs>
        <w:ind w:right="-6" w:firstLine="709"/>
        <w:jc w:val="both"/>
      </w:pPr>
      <w:r w:rsidRPr="00716193">
        <w:t>Нарушени са разпоредбите на чл. 101а от ЗОП,</w:t>
      </w:r>
      <w:r w:rsidRPr="00716193">
        <w:rPr>
          <w:color w:val="000000"/>
        </w:rPr>
        <w:t xml:space="preserve"> във връзка с чл. 14, ал. 4, т. 2 от ЗОП</w:t>
      </w:r>
      <w:r w:rsidRPr="00716193">
        <w:t>.</w:t>
      </w:r>
      <w:r w:rsidRPr="00716193">
        <w:rPr>
          <w:rStyle w:val="FootnoteReference"/>
        </w:rPr>
        <w:footnoteReference w:id="225"/>
      </w:r>
    </w:p>
    <w:p w:rsidR="000C097A" w:rsidRPr="00716193" w:rsidRDefault="000C097A" w:rsidP="000C097A">
      <w:pPr>
        <w:ind w:firstLine="720"/>
        <w:jc w:val="both"/>
      </w:pPr>
      <w:r w:rsidRPr="00716193">
        <w:rPr>
          <w:b/>
        </w:rPr>
        <w:t xml:space="preserve">5.4. </w:t>
      </w:r>
      <w:r w:rsidRPr="00716193">
        <w:t>Съгласно Договор № 13-ЗОП-09-17-1</w:t>
      </w:r>
      <w:r w:rsidR="00E32BA9">
        <w:t xml:space="preserve"> от </w:t>
      </w:r>
      <w:r w:rsidRPr="00716193">
        <w:t>13.02.2014 г. на стойност</w:t>
      </w:r>
      <w:r w:rsidR="0082524B" w:rsidRPr="00716193">
        <w:t xml:space="preserve"> </w:t>
      </w:r>
      <w:r w:rsidRPr="00716193">
        <w:t>9 750 лв., без ДДС, Договор № 13-2424-1</w:t>
      </w:r>
      <w:r w:rsidR="00E32BA9">
        <w:t xml:space="preserve"> от </w:t>
      </w:r>
      <w:r w:rsidRPr="00716193">
        <w:t>13.02.2014 г. на стойност 7 750 лв., без ДДС и Договор № 14-621-2</w:t>
      </w:r>
      <w:r w:rsidR="00E32BA9">
        <w:t xml:space="preserve"> от </w:t>
      </w:r>
      <w:r w:rsidRPr="00716193">
        <w:t>11.03.2014 г. на стойност 6 550 лв., без ДДС, с един и същ изпълнител, са извършени и заплатени разходи за изготвяне и представяне на инвестиционни проекти за проучване и изграждане на обекти на „НСБ“ ЕАД: пешеходна алея и стоманена пасарелка към НСК „Диана“ - Хотел 1; спортни зали и плувен басейн във ВСК „Белмекен“; футболни полигони с изкуствена настилка, на територията на НСК „Диана“.</w:t>
      </w:r>
    </w:p>
    <w:p w:rsidR="000C097A" w:rsidRPr="00716193" w:rsidRDefault="000C097A" w:rsidP="000C097A">
      <w:pPr>
        <w:tabs>
          <w:tab w:val="left" w:pos="9354"/>
        </w:tabs>
        <w:ind w:right="-6" w:firstLine="709"/>
        <w:jc w:val="both"/>
      </w:pPr>
      <w:r w:rsidRPr="00716193">
        <w:rPr>
          <w:spacing w:val="4"/>
        </w:rPr>
        <w:t xml:space="preserve">Общата </w:t>
      </w:r>
      <w:r w:rsidRPr="00716193">
        <w:t>стойност на извършените и заплатени разходи по договорите към изпълнителя е в размер на 24 050 лв., без ДДС, без да е проведен избор на изпълнител чрез публична покана по реда на глава осма „а” от ЗОП, при наличие на предпоставки и основания за това.</w:t>
      </w:r>
    </w:p>
    <w:p w:rsidR="000C097A" w:rsidRPr="00716193" w:rsidRDefault="000C097A" w:rsidP="000C097A">
      <w:pPr>
        <w:tabs>
          <w:tab w:val="left" w:pos="9354"/>
        </w:tabs>
        <w:ind w:right="-6" w:firstLine="709"/>
        <w:jc w:val="both"/>
      </w:pPr>
      <w:r w:rsidRPr="00716193">
        <w:t>Нарушен е чл. 101а от ЗОП,</w:t>
      </w:r>
      <w:r w:rsidRPr="00716193">
        <w:rPr>
          <w:color w:val="000000"/>
        </w:rPr>
        <w:t xml:space="preserve"> във връзка с чл. 14, ал. 4, т. 2 от ЗОП.</w:t>
      </w:r>
      <w:r w:rsidRPr="00716193">
        <w:rPr>
          <w:rStyle w:val="FootnoteReference"/>
        </w:rPr>
        <w:footnoteReference w:id="226"/>
      </w:r>
    </w:p>
    <w:p w:rsidR="000C097A" w:rsidRPr="00716193" w:rsidRDefault="000C097A" w:rsidP="000C097A">
      <w:pPr>
        <w:ind w:firstLine="720"/>
        <w:jc w:val="both"/>
      </w:pPr>
      <w:r w:rsidRPr="00716193">
        <w:rPr>
          <w:b/>
        </w:rPr>
        <w:t>5.5.</w:t>
      </w:r>
      <w:r w:rsidRPr="00716193">
        <w:t xml:space="preserve"> В периода от 01.01.2013 г. до 31.12.2014 г. „НСБ“ ЕАД ползва електронни съобщителни услуги по стандарти GSM и UMTS от един и същ доставчик, както следва:</w:t>
      </w:r>
    </w:p>
    <w:p w:rsidR="000C097A" w:rsidRPr="00716193" w:rsidRDefault="000C097A" w:rsidP="000C097A">
      <w:pPr>
        <w:ind w:firstLine="709"/>
        <w:jc w:val="both"/>
      </w:pPr>
      <w:r w:rsidRPr="00716193">
        <w:rPr>
          <w:b/>
        </w:rPr>
        <w:t>5.5.1.</w:t>
      </w:r>
      <w:r w:rsidRPr="00716193">
        <w:rPr>
          <w:b/>
          <w:i/>
        </w:rPr>
        <w:t xml:space="preserve"> </w:t>
      </w:r>
      <w:r w:rsidRPr="00716193">
        <w:t>През 2013 г.:</w:t>
      </w:r>
    </w:p>
    <w:p w:rsidR="000C097A" w:rsidRPr="00716193" w:rsidRDefault="000C097A" w:rsidP="000C097A">
      <w:pPr>
        <w:ind w:firstLine="709"/>
        <w:jc w:val="both"/>
      </w:pPr>
      <w:r w:rsidRPr="00716193">
        <w:t xml:space="preserve">- в периода от 01.01.2013 г. до 19.02.2013 г. – по фактури, без писмен договор, на стойност 6 156,26 лв., без ДДС; </w:t>
      </w:r>
    </w:p>
    <w:p w:rsidR="000C097A" w:rsidRPr="00716193" w:rsidRDefault="000C097A" w:rsidP="000C097A">
      <w:pPr>
        <w:ind w:firstLine="720"/>
        <w:jc w:val="both"/>
      </w:pPr>
      <w:r w:rsidRPr="00716193">
        <w:t xml:space="preserve">- в периода от 19.02.2013 г. до 17.07.2013 г. – въз основа на Договор № 13-000059-1/19.02.2013 г., сключен на основание чл. 14, ал. 5, т. 2 от ЗОП (ред. ДВ, бр. 33/2012 г.) за срок от 24 месеца и до достигане на сумата от 19 999 лв., без ДДС. Със задължението за плащане по издадената от доставчика фактура № 0276320180/17.07.2013 г. е достигната сумата от 18 829,68 лв., без ДДС, на допустимите разходи по договора,  което е основание за неговото прекратяване. </w:t>
      </w:r>
    </w:p>
    <w:p w:rsidR="000C097A" w:rsidRPr="00716193" w:rsidRDefault="000C097A" w:rsidP="000C097A">
      <w:pPr>
        <w:ind w:firstLine="720"/>
        <w:jc w:val="both"/>
      </w:pPr>
      <w:r w:rsidRPr="00716193">
        <w:lastRenderedPageBreak/>
        <w:t xml:space="preserve">- от 18.07.2013 г. до 31.12.2013 г. – без писмен договор, по фактури, </w:t>
      </w:r>
      <w:r w:rsidRPr="00716193">
        <w:br/>
        <w:t>на стойност 19 008, 36 лв., без ДДС.</w:t>
      </w:r>
    </w:p>
    <w:p w:rsidR="000C097A" w:rsidRPr="00716193" w:rsidRDefault="000C097A" w:rsidP="000C097A">
      <w:pPr>
        <w:ind w:firstLine="720"/>
        <w:jc w:val="both"/>
      </w:pPr>
      <w:r w:rsidRPr="00716193">
        <w:t>Дейностите по предоставяне на електронни съобщителни услуги по стандарти GSM и UMTS са обект на обществена поръчка по чл. 3, ал. 1, т. 2 от ЗОП. Общият размер на извършените разходи за ползваните електронни съобщителни услуги от „НСБ“ ЕАД за 2013 г. е 43 994,30 лв., без ДДС, без да е проведен избор на изпълнител чрез публична покана по реда на глава осма „а” от ЗОП, при наличие на предпоставки и основания за това.</w:t>
      </w:r>
    </w:p>
    <w:p w:rsidR="000C097A" w:rsidRPr="00716193" w:rsidRDefault="000C097A" w:rsidP="000C097A">
      <w:pPr>
        <w:ind w:firstLine="720"/>
        <w:jc w:val="both"/>
      </w:pPr>
      <w:r w:rsidRPr="00716193">
        <w:t>Нарушен е чл. 101а от ЗОП,</w:t>
      </w:r>
      <w:r w:rsidRPr="00716193">
        <w:rPr>
          <w:color w:val="000000"/>
        </w:rPr>
        <w:t xml:space="preserve"> във връзка с чл. 14, ал. 4, т. 2 от ЗОП</w:t>
      </w:r>
      <w:r w:rsidRPr="00716193">
        <w:t>.</w:t>
      </w:r>
      <w:r w:rsidRPr="00716193">
        <w:rPr>
          <w:rStyle w:val="FootnoteReference"/>
        </w:rPr>
        <w:t xml:space="preserve"> </w:t>
      </w:r>
      <w:r w:rsidRPr="00716193">
        <w:rPr>
          <w:rStyle w:val="FootnoteReference"/>
        </w:rPr>
        <w:footnoteReference w:id="227"/>
      </w:r>
    </w:p>
    <w:p w:rsidR="000C097A" w:rsidRPr="00716193" w:rsidRDefault="000C097A" w:rsidP="000C097A">
      <w:pPr>
        <w:ind w:firstLine="720"/>
        <w:jc w:val="both"/>
      </w:pPr>
      <w:r w:rsidRPr="00716193">
        <w:rPr>
          <w:b/>
        </w:rPr>
        <w:t>5.5.2.</w:t>
      </w:r>
      <w:r w:rsidRPr="00716193">
        <w:rPr>
          <w:b/>
          <w:i/>
        </w:rPr>
        <w:t xml:space="preserve"> </w:t>
      </w:r>
      <w:r w:rsidRPr="00716193">
        <w:t>През 2014 г.:</w:t>
      </w:r>
    </w:p>
    <w:p w:rsidR="000C097A" w:rsidRPr="00716193" w:rsidRDefault="000C097A" w:rsidP="000C097A">
      <w:pPr>
        <w:ind w:firstLine="720"/>
        <w:jc w:val="both"/>
      </w:pPr>
      <w:r w:rsidRPr="00716193">
        <w:t xml:space="preserve">В периода от 01.01.2014 г. до 31.12.2014 г. „НСБ“ ЕАД ползва електронни съобщителни услуги по стандарти GSM и UMTS от доставчик на електронни съобщителни услуги, като заплаща услугите по издадени фактури, без наличие на действащ писмен договор. </w:t>
      </w:r>
    </w:p>
    <w:p w:rsidR="000C097A" w:rsidRPr="00716193" w:rsidRDefault="000C097A" w:rsidP="000C097A">
      <w:pPr>
        <w:ind w:firstLine="720"/>
        <w:jc w:val="both"/>
      </w:pPr>
      <w:r w:rsidRPr="00716193">
        <w:t>Дейностите по предоставяне на електронни съобщителни услуги по стандарти GSM и UMTS са обект на обществена поръчка по чл. 3, ал. 1, т. 2 от ЗОП. Общият размер на разходите за ползваните електронни съобщителни услуги по стандарти GSM и UMTS от „НСБ“ ЕАД за 2014 г. е 34 994, 94 лв., без ДДС. Същите са извършени без да е проведен избор на изпълнител чрез публична покана по реда на глава осма „а” от ЗОП, при наличие на предпоставки и основания за това.</w:t>
      </w:r>
      <w:r w:rsidRPr="00716193">
        <w:rPr>
          <w:rStyle w:val="FootnoteReference"/>
        </w:rPr>
        <w:t xml:space="preserve"> </w:t>
      </w:r>
    </w:p>
    <w:p w:rsidR="000C097A" w:rsidRPr="00716193" w:rsidRDefault="000C097A" w:rsidP="000C097A">
      <w:pPr>
        <w:ind w:firstLine="709"/>
        <w:jc w:val="both"/>
      </w:pPr>
      <w:r w:rsidRPr="00716193">
        <w:t>Нарушен е чл. 101а от ЗОП,</w:t>
      </w:r>
      <w:r w:rsidRPr="00716193">
        <w:rPr>
          <w:color w:val="000000"/>
        </w:rPr>
        <w:t xml:space="preserve"> във връзка с чл. 14, ал. 4, т. 2 от ЗОП</w:t>
      </w:r>
      <w:r w:rsidRPr="00716193">
        <w:t>.</w:t>
      </w:r>
      <w:r w:rsidRPr="00716193">
        <w:rPr>
          <w:rStyle w:val="FootnoteReference"/>
        </w:rPr>
        <w:t xml:space="preserve"> </w:t>
      </w:r>
      <w:r w:rsidRPr="00716193">
        <w:rPr>
          <w:rStyle w:val="FootnoteReference"/>
        </w:rPr>
        <w:footnoteReference w:id="228"/>
      </w:r>
    </w:p>
    <w:p w:rsidR="000C097A" w:rsidRPr="00716193" w:rsidRDefault="000C097A" w:rsidP="000C097A">
      <w:pPr>
        <w:ind w:firstLine="709"/>
        <w:jc w:val="both"/>
      </w:pPr>
      <w:r w:rsidRPr="00716193">
        <w:rPr>
          <w:b/>
        </w:rPr>
        <w:t>5.6.</w:t>
      </w:r>
      <w:r w:rsidRPr="00716193">
        <w:rPr>
          <w:bCs/>
        </w:rPr>
        <w:t xml:space="preserve"> Съгласно сключен </w:t>
      </w:r>
      <w:r w:rsidRPr="00716193">
        <w:t>Договор №</w:t>
      </w:r>
      <w:r w:rsidRPr="00716193">
        <w:rPr>
          <w:bCs/>
        </w:rPr>
        <w:t xml:space="preserve"> </w:t>
      </w:r>
      <w:r w:rsidRPr="00716193">
        <w:t xml:space="preserve">14-1328-1/25.06.2014 г., на стойност 3 120 лв., без ДДС, и Договор </w:t>
      </w:r>
      <w:r w:rsidRPr="00716193">
        <w:rPr>
          <w:bCs/>
        </w:rPr>
        <w:t xml:space="preserve">№ </w:t>
      </w:r>
      <w:r w:rsidRPr="00716193">
        <w:t>14-1328-1/13.08.2014 г. на стойност 19 800 лв., без ДДС,</w:t>
      </w:r>
      <w:r w:rsidRPr="00716193">
        <w:rPr>
          <w:bCs/>
        </w:rPr>
        <w:t xml:space="preserve"> са извършени и заплатени разходи за </w:t>
      </w:r>
      <w:r w:rsidRPr="00716193">
        <w:t>геодезическо заснемане, цифров модел на специализирана карта, изготвяне на документация, регистриране и отразяване на обектите на „НСБ“ ЕАД - ВСК „Белмекен“ в Картата на възстановената собственост, скица на обекта, регистриране на обекти на „НСБ“ ЕАД – ВСК „Белмекен“, изготвяне на скици и на специализирани карти релеф, и надземна инфраструктура</w:t>
      </w:r>
      <w:r w:rsidRPr="00716193">
        <w:rPr>
          <w:bCs/>
        </w:rPr>
        <w:t>.</w:t>
      </w:r>
    </w:p>
    <w:p w:rsidR="000C097A" w:rsidRPr="00716193" w:rsidRDefault="000C097A" w:rsidP="000C097A">
      <w:pPr>
        <w:tabs>
          <w:tab w:val="left" w:pos="9354"/>
        </w:tabs>
        <w:ind w:right="-6" w:firstLine="709"/>
        <w:jc w:val="both"/>
      </w:pPr>
      <w:r w:rsidRPr="00716193">
        <w:rPr>
          <w:spacing w:val="4"/>
        </w:rPr>
        <w:t xml:space="preserve">Общата </w:t>
      </w:r>
      <w:r w:rsidRPr="00716193">
        <w:t>стойност на извършените разходи е в размер на 22 920 лв., без ДДС, без да е проведен избор на изпълнител чрез публична покана по реда на глава осма „а” от ЗОП, при наличие на предпоставки и основания за това. Нарушена е разпоредбата на чл. 101а от ЗОП,</w:t>
      </w:r>
      <w:r w:rsidRPr="00716193">
        <w:rPr>
          <w:color w:val="000000"/>
        </w:rPr>
        <w:t xml:space="preserve"> във връзка с чл. 14, ал. 4, т. 2 от ЗОП</w:t>
      </w:r>
      <w:r w:rsidRPr="00716193">
        <w:t>.</w:t>
      </w:r>
      <w:r w:rsidRPr="00716193">
        <w:rPr>
          <w:rStyle w:val="FootnoteReference"/>
        </w:rPr>
        <w:t xml:space="preserve"> </w:t>
      </w:r>
      <w:r w:rsidRPr="00716193">
        <w:rPr>
          <w:rStyle w:val="FootnoteReference"/>
        </w:rPr>
        <w:footnoteReference w:id="229"/>
      </w:r>
    </w:p>
    <w:p w:rsidR="000C097A" w:rsidRPr="00716193" w:rsidRDefault="000C097A" w:rsidP="000C097A">
      <w:pPr>
        <w:ind w:firstLine="720"/>
        <w:jc w:val="both"/>
      </w:pPr>
      <w:r w:rsidRPr="00716193">
        <w:rPr>
          <w:b/>
        </w:rPr>
        <w:t>5.7</w:t>
      </w:r>
      <w:r w:rsidRPr="00716193">
        <w:t>. За извършване на доставка на 3 397 (три хиляди триста деветдесет и седем) броя седалки за НС „Васил Левски”, без монтажни дейности, е сключен Договор № 14-637-1/26.03.2014 г. на стойност 59 991,02 лв., без ДДС,</w:t>
      </w:r>
      <w:r w:rsidRPr="00716193">
        <w:rPr>
          <w:rStyle w:val="FootnoteReference"/>
        </w:rPr>
        <w:t xml:space="preserve"> </w:t>
      </w:r>
      <w:r w:rsidRPr="00716193">
        <w:t>при условията на свободно договаряне.</w:t>
      </w:r>
      <w:r w:rsidRPr="00716193">
        <w:rPr>
          <w:rStyle w:val="FootnoteReference"/>
        </w:rPr>
        <w:footnoteReference w:id="230"/>
      </w:r>
      <w:r w:rsidRPr="00716193">
        <w:t xml:space="preserve">  </w:t>
      </w:r>
    </w:p>
    <w:p w:rsidR="000C097A" w:rsidRPr="00716193" w:rsidRDefault="000C097A" w:rsidP="000C097A">
      <w:pPr>
        <w:tabs>
          <w:tab w:val="left" w:pos="9354"/>
        </w:tabs>
        <w:ind w:right="-6" w:firstLine="709"/>
        <w:jc w:val="both"/>
      </w:pPr>
      <w:r w:rsidRPr="00716193">
        <w:t xml:space="preserve">Извършени са и заплатени разходи за доставка в размер на 59 991,02 лв., без ДДС, без да е проведен избор на изпълнител чрез публична покана по реда на глава осма „а” от ЗОП при наличие на предпоставки и основания за това. </w:t>
      </w:r>
    </w:p>
    <w:p w:rsidR="000C097A" w:rsidRPr="00716193" w:rsidRDefault="000C097A" w:rsidP="000C097A">
      <w:pPr>
        <w:tabs>
          <w:tab w:val="left" w:pos="9354"/>
        </w:tabs>
        <w:ind w:right="-6" w:firstLine="709"/>
        <w:jc w:val="both"/>
      </w:pPr>
      <w:r w:rsidRPr="00716193">
        <w:t>Нарушен е чл. 101а от ЗОП,</w:t>
      </w:r>
      <w:r w:rsidRPr="00716193">
        <w:rPr>
          <w:color w:val="000000"/>
        </w:rPr>
        <w:t xml:space="preserve"> във връзка с чл. 14, ал. 4, т. 2 от ЗОП</w:t>
      </w:r>
      <w:r w:rsidRPr="00716193">
        <w:t>.</w:t>
      </w:r>
      <w:r w:rsidRPr="00716193">
        <w:rPr>
          <w:rStyle w:val="FootnoteReference"/>
        </w:rPr>
        <w:t xml:space="preserve"> </w:t>
      </w:r>
      <w:r w:rsidRPr="00716193">
        <w:rPr>
          <w:rStyle w:val="FootnoteReference"/>
        </w:rPr>
        <w:footnoteReference w:id="231"/>
      </w:r>
    </w:p>
    <w:p w:rsidR="000C097A" w:rsidRPr="00716193" w:rsidRDefault="000C097A" w:rsidP="000C097A">
      <w:pPr>
        <w:tabs>
          <w:tab w:val="left" w:pos="8847"/>
        </w:tabs>
        <w:ind w:firstLine="720"/>
        <w:jc w:val="both"/>
      </w:pPr>
      <w:r w:rsidRPr="00716193">
        <w:rPr>
          <w:b/>
        </w:rPr>
        <w:t>5.8.</w:t>
      </w:r>
      <w:r w:rsidRPr="00716193">
        <w:t xml:space="preserve"> На 09.11.2012 г. е сключен Рамков договор № 12-001545-1 от 09.11.2012 г. между „НСБ” ЕАД и застрахователно дружество, с предмет същото да предоставя преференциално на  „НСБ” ЕАД застрахователни услуги. Срокът на договора е 3 (три години). </w:t>
      </w:r>
    </w:p>
    <w:p w:rsidR="000C097A" w:rsidRPr="00716193" w:rsidRDefault="000C097A" w:rsidP="000C097A">
      <w:pPr>
        <w:ind w:firstLine="709"/>
        <w:jc w:val="both"/>
      </w:pPr>
      <w:r w:rsidRPr="00716193">
        <w:t>През одитирания период, въз основа на посочения Рамков договор</w:t>
      </w:r>
      <w:r w:rsidRPr="00716193">
        <w:rPr>
          <w:lang w:eastAsia="zh-CN"/>
        </w:rPr>
        <w:t xml:space="preserve"> и на Договор за генерално спонсорство към друго застрахователно дружество</w:t>
      </w:r>
      <w:r w:rsidRPr="00716193">
        <w:rPr>
          <w:rStyle w:val="FootnoteReference"/>
          <w:lang w:eastAsia="zh-CN"/>
        </w:rPr>
        <w:footnoteReference w:id="232"/>
      </w:r>
      <w:r w:rsidRPr="00716193">
        <w:t xml:space="preserve">, са сключвани </w:t>
      </w:r>
      <w:r w:rsidRPr="00716193">
        <w:lastRenderedPageBreak/>
        <w:t>застрахователни полици за застраховки „Индустриален пожар“, „Гражданска отговорност” на автомобилисти, „Злополука на местата в МПС” и „Трудова злополука, на Централно управление и структурни звена на „НСБ” ЕАД, без да е проведена процедура за възлагане на обществена поръчка по реда на ЗОП, въпреки че са били налице основанията за това.</w:t>
      </w:r>
      <w:r w:rsidRPr="00716193">
        <w:rPr>
          <w:rStyle w:val="FootnoteReference"/>
        </w:rPr>
        <w:t xml:space="preserve"> </w:t>
      </w:r>
      <w:r w:rsidRPr="00716193">
        <w:rPr>
          <w:rStyle w:val="FootnoteReference"/>
        </w:rPr>
        <w:footnoteReference w:id="233"/>
      </w:r>
    </w:p>
    <w:p w:rsidR="000C097A" w:rsidRPr="00716193" w:rsidRDefault="000C097A" w:rsidP="000C097A">
      <w:pPr>
        <w:ind w:firstLine="720"/>
        <w:jc w:val="both"/>
      </w:pPr>
      <w:r w:rsidRPr="00716193">
        <w:rPr>
          <w:b/>
        </w:rPr>
        <w:t>5.8.1</w:t>
      </w:r>
      <w:r w:rsidRPr="00716193">
        <w:t xml:space="preserve">. За периода от 18.01.2013 г. до 17.12.2013 г. от „НСБ” ЕАД са сключени застрахователни полици за застраховки „Индустриален пожар“, „Гражданска отговорност” на автомобилисти, „Злополука на местата в МПС” и „Трудова злополука, на Централно управление и структурни звена на „НСБ” ЕАД, на обща стойност </w:t>
      </w:r>
      <w:r w:rsidRPr="00716193">
        <w:br/>
        <w:t>265 408,47 лв., без ДДС, без да е проведена процедура за възлагане на обществена поръчка по реда на ЗОП, въпреки че са били налице основанията за това.</w:t>
      </w:r>
    </w:p>
    <w:p w:rsidR="000C097A" w:rsidRPr="00716193" w:rsidRDefault="000C097A" w:rsidP="000C097A">
      <w:pPr>
        <w:ind w:firstLine="720"/>
        <w:jc w:val="both"/>
      </w:pPr>
      <w:r w:rsidRPr="00716193">
        <w:t>Нарушена е разпоредбата на чл. 8, ал. 1 от ЗОП, във връзка с чл. 14, ал. 3, т. 2 от ЗОП</w:t>
      </w:r>
      <w:r w:rsidRPr="00716193">
        <w:rPr>
          <w:rStyle w:val="FootnoteReference"/>
        </w:rPr>
        <w:footnoteReference w:id="234"/>
      </w:r>
      <w:r w:rsidRPr="00716193">
        <w:t>.</w:t>
      </w:r>
    </w:p>
    <w:p w:rsidR="000C097A" w:rsidRPr="00716193" w:rsidRDefault="000C097A" w:rsidP="000C097A">
      <w:pPr>
        <w:ind w:firstLine="720"/>
        <w:jc w:val="both"/>
      </w:pPr>
      <w:r w:rsidRPr="00716193">
        <w:rPr>
          <w:b/>
        </w:rPr>
        <w:t>5.8.2</w:t>
      </w:r>
      <w:r w:rsidRPr="00716193">
        <w:t xml:space="preserve">. За периода от 03.01.2014 г. до 16.12.2014 г. от „НСБ” ЕАД са сключени застрахователни полици за застраховки „Индустриален пожар“, „Гражданска отговорност” на автомобилисти, „Злополука на местата в МПС” и „Трудова злополука, на Централно управление и структурни звена на „НСБ” ЕАД, на обща стойност </w:t>
      </w:r>
      <w:r w:rsidR="00F53282" w:rsidRPr="00716193">
        <w:br/>
      </w:r>
      <w:r w:rsidRPr="00716193">
        <w:t>252 644,61 лв., без ДДС, без да е проведена процедура за възлагане на обществена поръчка по реда на ЗОП, въпреки че са били налице основанията за това.</w:t>
      </w:r>
    </w:p>
    <w:p w:rsidR="000C097A" w:rsidRPr="00716193" w:rsidRDefault="000C097A" w:rsidP="000C097A">
      <w:pPr>
        <w:ind w:firstLine="720"/>
        <w:jc w:val="both"/>
      </w:pPr>
      <w:r w:rsidRPr="00716193">
        <w:t>Нарушена е разпоредбата на чл. 8, ал. 1 от ЗОП, във връзка с чл. 14, ал. 3, т. 2 от ЗОП.</w:t>
      </w:r>
    </w:p>
    <w:p w:rsidR="000C097A" w:rsidRPr="00716193" w:rsidRDefault="000C097A" w:rsidP="000C097A">
      <w:pPr>
        <w:tabs>
          <w:tab w:val="left" w:pos="1134"/>
        </w:tabs>
        <w:ind w:firstLine="709"/>
        <w:jc w:val="both"/>
        <w:rPr>
          <w:b/>
        </w:rPr>
      </w:pPr>
      <w:r w:rsidRPr="00716193">
        <w:rPr>
          <w:b/>
        </w:rPr>
        <w:t>5.9.</w:t>
      </w:r>
      <w:r w:rsidRPr="00716193">
        <w:t xml:space="preserve"> На 18.07.2012 г. е сключен Рамков договор № 11-001858-2/18.07.2012 г. между „НСБ” ЕАД и изпълнител, с предмет „комбинирана физическа охрана на обекти, собственост на възложителя”, съгласно представена оферта, Приложение 1, неразделна част от договора, със срок на договора – 3 години, при условията на свободно договаряне, без да е възложена обществена поръчка по реда на ЗОП.</w:t>
      </w:r>
      <w:r w:rsidRPr="00716193">
        <w:rPr>
          <w:rStyle w:val="FootnoteReference"/>
        </w:rPr>
        <w:t xml:space="preserve"> </w:t>
      </w:r>
      <w:r w:rsidRPr="00716193">
        <w:rPr>
          <w:rStyle w:val="FootnoteReference"/>
        </w:rPr>
        <w:footnoteReference w:id="235"/>
      </w:r>
    </w:p>
    <w:p w:rsidR="000C097A" w:rsidRPr="00716193" w:rsidRDefault="000C097A" w:rsidP="000C097A">
      <w:pPr>
        <w:tabs>
          <w:tab w:val="left" w:pos="709"/>
        </w:tabs>
        <w:jc w:val="both"/>
      </w:pPr>
      <w:r w:rsidRPr="00716193">
        <w:tab/>
      </w:r>
      <w:r w:rsidRPr="00716193">
        <w:rPr>
          <w:b/>
        </w:rPr>
        <w:t>5.9.1.</w:t>
      </w:r>
      <w:r w:rsidRPr="00716193">
        <w:t xml:space="preserve"> На 24.01.2013 г., без да е проведена процедура по ЗОП, е подписан </w:t>
      </w:r>
      <w:r w:rsidRPr="00716193">
        <w:br/>
        <w:t xml:space="preserve">Протокол № 8/24.01.2013 г. към цитирания договор, с който е възложено на изпълнителя по протокола да „осигури от 25.01.2013 г. охранители за център за видеонаблюдение на обект Национален стадион „В. Левски”, в съответствие с условията на </w:t>
      </w:r>
      <w:r w:rsidR="0082524B" w:rsidRPr="00716193">
        <w:t>рамковия договор</w:t>
      </w:r>
      <w:r w:rsidRPr="00716193">
        <w:t xml:space="preserve"> (за срок от 3 години),</w:t>
      </w:r>
      <w:r w:rsidR="0082524B" w:rsidRPr="00716193">
        <w:t xml:space="preserve"> срещу месечно възнаграждение </w:t>
      </w:r>
      <w:r w:rsidRPr="00716193">
        <w:t>2 542,50 лв., без ДДС. Предвидено е действието на протокола да се прекрати с прекратяване на действието на договора, или срокът на действие на Протокол</w:t>
      </w:r>
      <w:r w:rsidR="0082524B" w:rsidRPr="00716193">
        <w:t xml:space="preserve"> </w:t>
      </w:r>
      <w:r w:rsidRPr="00716193">
        <w:t>№ 8/24.01.2013 г. е до 18.07.2015 г., като общата стойност на възложените услуги за този период възлиза на</w:t>
      </w:r>
      <w:r w:rsidR="0082524B" w:rsidRPr="00716193">
        <w:t xml:space="preserve"> </w:t>
      </w:r>
      <w:r w:rsidRPr="00716193">
        <w:t>76 275 лв., без ДДС.</w:t>
      </w:r>
      <w:r w:rsidRPr="00716193">
        <w:rPr>
          <w:rStyle w:val="FootnoteReference"/>
        </w:rPr>
        <w:footnoteReference w:id="236"/>
      </w:r>
    </w:p>
    <w:p w:rsidR="000C097A" w:rsidRPr="00716193" w:rsidRDefault="000C097A" w:rsidP="000C097A">
      <w:pPr>
        <w:tabs>
          <w:tab w:val="left" w:pos="1134"/>
        </w:tabs>
        <w:ind w:firstLine="709"/>
        <w:jc w:val="both"/>
      </w:pPr>
      <w:r w:rsidRPr="00716193">
        <w:rPr>
          <w:b/>
        </w:rPr>
        <w:t>5.9.2</w:t>
      </w:r>
      <w:r w:rsidRPr="00716193">
        <w:t>.</w:t>
      </w:r>
      <w:r w:rsidRPr="00716193">
        <w:rPr>
          <w:i/>
        </w:rPr>
        <w:t xml:space="preserve"> </w:t>
      </w:r>
      <w:r w:rsidRPr="00716193">
        <w:t xml:space="preserve">На 27.02.2013 г., без да е проведена процедура по ЗОП, е подписан </w:t>
      </w:r>
      <w:r w:rsidRPr="00716193">
        <w:br/>
        <w:t>Протокол № 9/01.03.2013 г.</w:t>
      </w:r>
      <w:r w:rsidRPr="00716193">
        <w:rPr>
          <w:rStyle w:val="FootnoteReference"/>
        </w:rPr>
        <w:t xml:space="preserve"> </w:t>
      </w:r>
      <w:r w:rsidRPr="00716193">
        <w:t>към Договор № 11-001858-2/18.07.2012 г., с който е възложено на изпълнителя по протокола да „осигури комбинирана охрана, чрез технически системи за сигурност и стационарни подвижни и неподвижни постове на обект НГБ „Средец” – Панчарево“, в съответствие с условията на посочения договор (за срок от 3 г.), срещу месечно възнаграждение от 6 356,25 лв., без ДДС. Предвидено е действието на протокола да се прекрати с прекратяване на действието на договора, или срокът на действие на Протокол № 9/01.03.2013 г. е до 18.07.2015 г., като общата стойност на възложените услуги за този период възлиза на 184 331, 25 лв., без ДДС.</w:t>
      </w:r>
      <w:r w:rsidRPr="00716193">
        <w:rPr>
          <w:rStyle w:val="FootnoteReference"/>
        </w:rPr>
        <w:footnoteReference w:id="237"/>
      </w:r>
    </w:p>
    <w:p w:rsidR="000C097A" w:rsidRPr="00716193" w:rsidRDefault="000C097A" w:rsidP="000C097A">
      <w:pPr>
        <w:tabs>
          <w:tab w:val="left" w:pos="993"/>
        </w:tabs>
        <w:ind w:right="-1" w:firstLine="709"/>
        <w:jc w:val="both"/>
      </w:pPr>
      <w:r w:rsidRPr="00716193">
        <w:lastRenderedPageBreak/>
        <w:t>Дейностите по охрана са обект на обществена поръчка, съгласно чл. 3, ал. 1, т. 2 от ЗОП. Общата стойност на поетите задължения за периода от 24.01.2013 г. до 27.02.2013 г., за</w:t>
      </w:r>
      <w:r w:rsidR="001B1808" w:rsidRPr="00716193">
        <w:t xml:space="preserve"> </w:t>
      </w:r>
      <w:r w:rsidRPr="00716193">
        <w:t>услуги за охрана на обекти на „НСБ“ ЕАД по двата подписани протокола, без да е проведена процедура по реда и при условията на ЗОП, е 260 606, 25 лв., без ДДС.</w:t>
      </w:r>
      <w:r w:rsidRPr="00716193">
        <w:rPr>
          <w:rStyle w:val="FootnoteReference"/>
        </w:rPr>
        <w:footnoteReference w:id="238"/>
      </w:r>
    </w:p>
    <w:p w:rsidR="000C097A" w:rsidRPr="00716193" w:rsidRDefault="000C097A" w:rsidP="000C097A">
      <w:pPr>
        <w:ind w:firstLine="708"/>
        <w:jc w:val="both"/>
      </w:pPr>
      <w:r w:rsidRPr="00716193">
        <w:t>Нарушена е разпоредбата на чл. 8, ал. 1 от ЗОП, във връзка с чл. 14, ал. 3, т. 2 от ЗОП.</w:t>
      </w:r>
      <w:r w:rsidRPr="00716193">
        <w:rPr>
          <w:rStyle w:val="FootnoteReference"/>
        </w:rPr>
        <w:footnoteReference w:id="239"/>
      </w:r>
    </w:p>
    <w:p w:rsidR="000C097A" w:rsidRPr="00716193" w:rsidRDefault="000C097A" w:rsidP="000C097A">
      <w:pPr>
        <w:tabs>
          <w:tab w:val="left" w:pos="993"/>
        </w:tabs>
        <w:ind w:right="-1" w:firstLine="709"/>
        <w:jc w:val="both"/>
      </w:pPr>
    </w:p>
    <w:p w:rsidR="000C097A" w:rsidRDefault="000C097A" w:rsidP="000C097A">
      <w:pPr>
        <w:ind w:right="-6" w:firstLine="708"/>
        <w:jc w:val="both"/>
        <w:rPr>
          <w:i/>
        </w:rPr>
      </w:pPr>
      <w:r w:rsidRPr="00716193">
        <w:rPr>
          <w:i/>
        </w:rPr>
        <w:t xml:space="preserve">През одитирания период не са действали адекватни управленски механизми, които да гарантират спазване на Закона за обществените поръчки. Липсата на планиране на </w:t>
      </w:r>
      <w:r w:rsidRPr="00716193">
        <w:rPr>
          <w:i/>
          <w:iCs/>
        </w:rPr>
        <w:t xml:space="preserve">потребностите от </w:t>
      </w:r>
      <w:r w:rsidRPr="00716193">
        <w:rPr>
          <w:i/>
        </w:rPr>
        <w:t xml:space="preserve">обществени поръчки и разполагаем финансов ресурс на дружеството е реализирало риска от извършването на доставки, услуги и строително-ремонтни дейности, възлагането на които не е предшествано от избор на изпълнител, в съответствие със законовите разпоредби. </w:t>
      </w:r>
    </w:p>
    <w:p w:rsidR="00186E3E" w:rsidRPr="00716193" w:rsidRDefault="00186E3E" w:rsidP="000C097A">
      <w:pPr>
        <w:ind w:right="-6" w:firstLine="708"/>
        <w:jc w:val="both"/>
        <w:rPr>
          <w:i/>
        </w:rPr>
      </w:pPr>
    </w:p>
    <w:p w:rsidR="00FB3DDD" w:rsidRPr="00716193" w:rsidRDefault="00FB3DDD" w:rsidP="00FB3DDD">
      <w:pPr>
        <w:tabs>
          <w:tab w:val="left" w:pos="720"/>
        </w:tabs>
        <w:spacing w:before="120"/>
        <w:ind w:firstLine="720"/>
        <w:jc w:val="both"/>
      </w:pPr>
      <w:r w:rsidRPr="00716193">
        <w:rPr>
          <w:b/>
        </w:rPr>
        <w:t>Част четвърта</w:t>
      </w:r>
    </w:p>
    <w:p w:rsidR="00FB3DDD" w:rsidRPr="00716193" w:rsidRDefault="00FB3DDD" w:rsidP="00FB3DDD">
      <w:pPr>
        <w:tabs>
          <w:tab w:val="left" w:pos="720"/>
        </w:tabs>
        <w:spacing w:before="120" w:after="120"/>
        <w:ind w:firstLine="720"/>
        <w:jc w:val="both"/>
        <w:rPr>
          <w:b/>
        </w:rPr>
      </w:pPr>
      <w:r w:rsidRPr="00716193">
        <w:rPr>
          <w:b/>
        </w:rPr>
        <w:t>ЗАКЛЮЧЕНИЕ</w:t>
      </w:r>
    </w:p>
    <w:p w:rsidR="00033376" w:rsidRPr="00716193" w:rsidRDefault="00033376" w:rsidP="00033376">
      <w:pPr>
        <w:pStyle w:val="ListParagraph"/>
        <w:ind w:left="0" w:firstLine="720"/>
        <w:jc w:val="both"/>
        <w:rPr>
          <w:rFonts w:ascii="Times New Roman" w:hAnsi="Times New Roman" w:cs="Times New Roman"/>
        </w:rPr>
      </w:pPr>
      <w:r w:rsidRPr="00716193">
        <w:rPr>
          <w:rFonts w:ascii="Times New Roman" w:hAnsi="Times New Roman" w:cs="Times New Roman"/>
        </w:rPr>
        <w:t xml:space="preserve">Въз основа на резултатите от извършения одит на </w:t>
      </w:r>
      <w:r w:rsidRPr="00716193">
        <w:rPr>
          <w:rFonts w:ascii="Times New Roman" w:hAnsi="Times New Roman" w:cs="Times New Roman"/>
          <w:lang w:val="bg-BG"/>
        </w:rPr>
        <w:t>„НСБ“ ЕАД</w:t>
      </w:r>
      <w:r w:rsidRPr="00716193">
        <w:rPr>
          <w:rFonts w:ascii="Times New Roman" w:hAnsi="Times New Roman" w:cs="Times New Roman"/>
        </w:rPr>
        <w:t xml:space="preserve"> за период</w:t>
      </w:r>
      <w:r w:rsidR="00B23F75" w:rsidRPr="00716193">
        <w:rPr>
          <w:rFonts w:ascii="Times New Roman" w:hAnsi="Times New Roman" w:cs="Times New Roman"/>
        </w:rPr>
        <w:t>а от 01.01.2013 г. до 31.12.201</w:t>
      </w:r>
      <w:r w:rsidR="00B23F75" w:rsidRPr="00716193">
        <w:rPr>
          <w:rFonts w:ascii="Times New Roman" w:hAnsi="Times New Roman" w:cs="Times New Roman"/>
          <w:lang w:val="bg-BG"/>
        </w:rPr>
        <w:t>4</w:t>
      </w:r>
      <w:r w:rsidRPr="00716193">
        <w:rPr>
          <w:rFonts w:ascii="Times New Roman" w:hAnsi="Times New Roman" w:cs="Times New Roman"/>
        </w:rPr>
        <w:t xml:space="preserve"> г., представени в одитния доклад и събраните одитни доказателства, са направени следните заключения:</w:t>
      </w:r>
    </w:p>
    <w:p w:rsidR="00B23F75" w:rsidRPr="00716193" w:rsidRDefault="000C097A" w:rsidP="00B23F75">
      <w:pPr>
        <w:tabs>
          <w:tab w:val="left" w:pos="0"/>
        </w:tabs>
        <w:ind w:firstLine="709"/>
        <w:jc w:val="both"/>
      </w:pPr>
      <w:r w:rsidRPr="00716193">
        <w:t xml:space="preserve"> </w:t>
      </w:r>
      <w:r w:rsidR="00B23F75" w:rsidRPr="00716193">
        <w:t xml:space="preserve">В област на изследване </w:t>
      </w:r>
      <w:r w:rsidR="00B23F75" w:rsidRPr="00716193">
        <w:rPr>
          <w:b/>
        </w:rPr>
        <w:t>„Управление на дружеството“</w:t>
      </w:r>
      <w:r w:rsidR="00B23F75" w:rsidRPr="00716193">
        <w:t xml:space="preserve"> съществува съответствие във всички съществени аспекти, с изключение на несъответствията с правната рамка, свързани със съдържанието на устава на дружеството, и липсата на стратегия и бизнес програма на дружеството за целия срок на действие на договора за управление и поотделно за всяка една от годините. В някои аспекти са к</w:t>
      </w:r>
      <w:r w:rsidR="00B23F75" w:rsidRPr="00716193">
        <w:rPr>
          <w:rFonts w:eastAsia="Calibri"/>
          <w:lang w:eastAsia="en-US"/>
        </w:rPr>
        <w:t xml:space="preserve">онстатирани  </w:t>
      </w:r>
      <w:r w:rsidR="00B23F75" w:rsidRPr="00716193">
        <w:rPr>
          <w:lang w:eastAsia="ar-SA"/>
        </w:rPr>
        <w:t>несъществени отклонения, които не оказват влияние върху заключението за съответствие, и на които се обръща внимание</w:t>
      </w:r>
      <w:r w:rsidR="00B23F75" w:rsidRPr="00716193">
        <w:rPr>
          <w:rFonts w:eastAsia="Calibri"/>
          <w:lang w:eastAsia="en-US"/>
        </w:rPr>
        <w:t>: две извършени промени в щатното разписание на дружеството, без предхождащи решения от СД в тази връзка; липса на утвърдени органиграми; и не актуализиране на Правилника за устройството и дейността на „НСБ“ ЕАД, в съ</w:t>
      </w:r>
      <w:r w:rsidR="00586028" w:rsidRPr="00716193">
        <w:rPr>
          <w:rFonts w:eastAsia="Calibri"/>
          <w:lang w:eastAsia="en-US"/>
        </w:rPr>
        <w:t>о</w:t>
      </w:r>
      <w:r w:rsidR="00B23F75" w:rsidRPr="00716193">
        <w:rPr>
          <w:rFonts w:eastAsia="Calibri"/>
          <w:lang w:eastAsia="en-US"/>
        </w:rPr>
        <w:t>тветствие с извършените организационни промени.</w:t>
      </w:r>
      <w:r w:rsidR="00B23F75" w:rsidRPr="00716193">
        <w:tab/>
      </w:r>
    </w:p>
    <w:p w:rsidR="00B23F75" w:rsidRPr="00716193" w:rsidRDefault="00B23F75" w:rsidP="00B23F75">
      <w:pPr>
        <w:ind w:firstLine="720"/>
        <w:jc w:val="both"/>
      </w:pPr>
      <w:r w:rsidRPr="00716193">
        <w:t>Състоянието на СФУК в изследваната област е добро, но през одитирания период СФУК не е достатъчно ефективна, тъй като контролните дейности не са предотвратили горепосочените несъответствия с правната рамка и договорите.</w:t>
      </w:r>
    </w:p>
    <w:p w:rsidR="00B23F75" w:rsidRPr="00716193" w:rsidRDefault="00B23F75" w:rsidP="00B23F75">
      <w:pPr>
        <w:ind w:firstLine="720"/>
        <w:jc w:val="both"/>
      </w:pPr>
      <w:r w:rsidRPr="00716193">
        <w:t xml:space="preserve">В област на изследване </w:t>
      </w:r>
      <w:r w:rsidRPr="00716193">
        <w:rPr>
          <w:b/>
        </w:rPr>
        <w:t>„Управление на имуществото“</w:t>
      </w:r>
      <w:r w:rsidRPr="00716193">
        <w:t xml:space="preserve"> съществуват несъответствия в някои съществени аспекти:</w:t>
      </w:r>
    </w:p>
    <w:p w:rsidR="00D117F1" w:rsidRPr="00716193" w:rsidRDefault="00B23F75" w:rsidP="00B23F75">
      <w:pPr>
        <w:pStyle w:val="NoSpacing"/>
        <w:jc w:val="both"/>
      </w:pPr>
      <w:r w:rsidRPr="00716193">
        <w:rPr>
          <w:i/>
          <w:color w:val="000000"/>
        </w:rPr>
        <w:tab/>
      </w:r>
      <w:r w:rsidRPr="00716193">
        <w:rPr>
          <w:color w:val="000000"/>
        </w:rPr>
        <w:t>Не е</w:t>
      </w:r>
      <w:r w:rsidRPr="00716193">
        <w:rPr>
          <w:rStyle w:val="Strong"/>
          <w:b w:val="0"/>
        </w:rPr>
        <w:t xml:space="preserve"> спазен реда за отдаване под наем, предвиден в ПРУПДТДДУК в 18 на сто о</w:t>
      </w:r>
      <w:r w:rsidRPr="00716193">
        <w:rPr>
          <w:color w:val="000000"/>
        </w:rPr>
        <w:t xml:space="preserve">т проверените </w:t>
      </w:r>
      <w:r w:rsidRPr="00716193">
        <w:t xml:space="preserve">договори за отдаване под наем на ДМА. </w:t>
      </w:r>
    </w:p>
    <w:p w:rsidR="00B23F75" w:rsidRPr="00716193" w:rsidRDefault="00D117F1" w:rsidP="00D117F1">
      <w:pPr>
        <w:pStyle w:val="NoSpacing"/>
        <w:ind w:firstLine="720"/>
        <w:jc w:val="both"/>
        <w:rPr>
          <w:bCs/>
          <w:i/>
        </w:rPr>
      </w:pPr>
      <w:r w:rsidRPr="00716193">
        <w:t>При с</w:t>
      </w:r>
      <w:r w:rsidR="00B23F75" w:rsidRPr="00716193">
        <w:rPr>
          <w:color w:val="000000"/>
        </w:rPr>
        <w:t>ключването на договори за наем в резултат на прове</w:t>
      </w:r>
      <w:r w:rsidR="00A607C7" w:rsidRPr="00716193">
        <w:rPr>
          <w:color w:val="000000"/>
        </w:rPr>
        <w:t>дени търгове с тайно наддаване</w:t>
      </w:r>
      <w:r w:rsidRPr="00716193">
        <w:rPr>
          <w:color w:val="000000"/>
        </w:rPr>
        <w:t xml:space="preserve"> са установени несъответствия, свързани с</w:t>
      </w:r>
      <w:r w:rsidRPr="00716193">
        <w:rPr>
          <w:rStyle w:val="Strong"/>
          <w:b w:val="0"/>
        </w:rPr>
        <w:t xml:space="preserve"> неспазване</w:t>
      </w:r>
      <w:r w:rsidR="00B23F75" w:rsidRPr="00716193">
        <w:rPr>
          <w:rStyle w:val="Strong"/>
          <w:b w:val="0"/>
        </w:rPr>
        <w:t xml:space="preserve"> на съгласувателни процедури, липса на изискуема информация в решения на търговеца и заповеди за назначаване</w:t>
      </w:r>
      <w:r w:rsidR="00CE4785" w:rsidRPr="00716193">
        <w:rPr>
          <w:rStyle w:val="Strong"/>
          <w:b w:val="0"/>
        </w:rPr>
        <w:t xml:space="preserve"> на комисия</w:t>
      </w:r>
      <w:r w:rsidR="00B23F75" w:rsidRPr="00716193">
        <w:rPr>
          <w:rStyle w:val="Strong"/>
          <w:b w:val="0"/>
        </w:rPr>
        <w:t>.</w:t>
      </w:r>
      <w:r w:rsidR="00B23F75" w:rsidRPr="00716193">
        <w:rPr>
          <w:color w:val="000000"/>
        </w:rPr>
        <w:t xml:space="preserve"> </w:t>
      </w:r>
    </w:p>
    <w:p w:rsidR="00B23F75" w:rsidRPr="00716193" w:rsidRDefault="00B23F75" w:rsidP="00B23F75">
      <w:pPr>
        <w:pStyle w:val="NoSpacing"/>
        <w:jc w:val="both"/>
        <w:rPr>
          <w:rStyle w:val="Strong"/>
          <w:b w:val="0"/>
        </w:rPr>
      </w:pPr>
      <w:r w:rsidRPr="00716193">
        <w:rPr>
          <w:color w:val="000000"/>
        </w:rPr>
        <w:tab/>
        <w:t>П</w:t>
      </w:r>
      <w:r w:rsidR="00D117F1" w:rsidRPr="00716193">
        <w:rPr>
          <w:color w:val="000000"/>
        </w:rPr>
        <w:t>ри сключване на договори п</w:t>
      </w:r>
      <w:r w:rsidRPr="00716193">
        <w:rPr>
          <w:color w:val="000000"/>
        </w:rPr>
        <w:t xml:space="preserve">о реда на пряко договаряне </w:t>
      </w:r>
      <w:r w:rsidR="00D117F1" w:rsidRPr="00716193">
        <w:rPr>
          <w:color w:val="000000"/>
        </w:rPr>
        <w:t xml:space="preserve">е установено, че е </w:t>
      </w:r>
      <w:r w:rsidRPr="00716193">
        <w:rPr>
          <w:color w:val="000000"/>
        </w:rPr>
        <w:t>с</w:t>
      </w:r>
      <w:r w:rsidR="00D117F1" w:rsidRPr="00716193">
        <w:t xml:space="preserve">ключен </w:t>
      </w:r>
      <w:r w:rsidRPr="00716193">
        <w:t>договор, съгласно който наемната цена е по-ниска от определената от лицензир</w:t>
      </w:r>
      <w:r w:rsidR="00D117F1" w:rsidRPr="00716193">
        <w:t>ан оценител начална наемна цена, както</w:t>
      </w:r>
      <w:r w:rsidRPr="00716193">
        <w:t xml:space="preserve"> и договор без разрешение на едноличния собственик на капитала за част от ДМА, в несъответствие с</w:t>
      </w:r>
      <w:r w:rsidR="00D117F1" w:rsidRPr="00716193">
        <w:rPr>
          <w:rStyle w:val="Strong"/>
          <w:b w:val="0"/>
        </w:rPr>
        <w:t xml:space="preserve"> правната рамка</w:t>
      </w:r>
      <w:r w:rsidRPr="00716193">
        <w:rPr>
          <w:rStyle w:val="Strong"/>
          <w:b w:val="0"/>
        </w:rPr>
        <w:t>.</w:t>
      </w:r>
    </w:p>
    <w:p w:rsidR="00B23F75" w:rsidRPr="00716193" w:rsidRDefault="00B23F75" w:rsidP="00B23F75">
      <w:pPr>
        <w:pStyle w:val="NoSpacing"/>
        <w:jc w:val="both"/>
      </w:pPr>
      <w:r w:rsidRPr="00716193">
        <w:rPr>
          <w:i/>
          <w:color w:val="000000"/>
        </w:rPr>
        <w:lastRenderedPageBreak/>
        <w:tab/>
      </w:r>
      <w:r w:rsidRPr="00716193">
        <w:rPr>
          <w:color w:val="000000"/>
        </w:rPr>
        <w:t xml:space="preserve">Не е извършван ежегоден анализ на възможностите за отдаване под наем на активи на „НСБ“ ЕАД и предварителен контрол </w:t>
      </w:r>
      <w:r w:rsidRPr="00716193">
        <w:t xml:space="preserve">по процедурите за отдаване под наем, с което не са спазени изисквания на утвърден вътрешен акт и е създаден риск за </w:t>
      </w:r>
      <w:r w:rsidR="00A607C7" w:rsidRPr="00716193">
        <w:t xml:space="preserve">неспазване на нормативно установения ред за </w:t>
      </w:r>
      <w:r w:rsidRPr="00716193">
        <w:t>провеждане на процедури за отдаване под наем на активи на дружеството през одитирания период, който се е реализирал.</w:t>
      </w:r>
    </w:p>
    <w:p w:rsidR="00B23F75" w:rsidRPr="00716193" w:rsidRDefault="00B23F75" w:rsidP="00B23F75">
      <w:pPr>
        <w:pStyle w:val="NoSpacing"/>
        <w:jc w:val="both"/>
        <w:rPr>
          <w:bCs/>
        </w:rPr>
      </w:pPr>
      <w:r w:rsidRPr="00716193">
        <w:rPr>
          <w:i/>
        </w:rPr>
        <w:tab/>
      </w:r>
      <w:r w:rsidRPr="00716193">
        <w:t xml:space="preserve"> В действащите през одитирания период вътрешни актове, регламентиращи </w:t>
      </w:r>
      <w:r w:rsidRPr="00716193">
        <w:rPr>
          <w:bCs/>
        </w:rPr>
        <w:t>реда за отдаване под наем на дълготрайни активи и/или движими вещи, собственост на „НСБ“ ЕАД, не се съдържат конкретни изисквания за срокове, отговорни звена/лица, дейности и документи във връзка с извършването на предварителен и текущ контрол на процедурите за отдаване под наем.</w:t>
      </w:r>
    </w:p>
    <w:p w:rsidR="00B23F75" w:rsidRPr="00716193" w:rsidRDefault="00B23F75" w:rsidP="00B23F75">
      <w:pPr>
        <w:pStyle w:val="NoSpacing"/>
        <w:jc w:val="both"/>
        <w:rPr>
          <w:color w:val="000000"/>
        </w:rPr>
      </w:pPr>
      <w:r w:rsidRPr="00716193">
        <w:rPr>
          <w:bCs/>
          <w:i/>
        </w:rPr>
        <w:t xml:space="preserve"> </w:t>
      </w:r>
      <w:r w:rsidRPr="00716193">
        <w:rPr>
          <w:rStyle w:val="Strong"/>
        </w:rPr>
        <w:tab/>
      </w:r>
      <w:r w:rsidRPr="00716193">
        <w:rPr>
          <w:color w:val="000000"/>
        </w:rPr>
        <w:t xml:space="preserve">Не са предприети действия за начисляване на </w:t>
      </w:r>
      <w:r w:rsidRPr="00716193">
        <w:t xml:space="preserve">неустойки </w:t>
      </w:r>
      <w:r w:rsidRPr="00716193">
        <w:rPr>
          <w:lang w:val="en-US"/>
        </w:rPr>
        <w:t>(</w:t>
      </w:r>
      <w:r w:rsidRPr="00716193">
        <w:t>лихви</w:t>
      </w:r>
      <w:r w:rsidRPr="00716193">
        <w:rPr>
          <w:lang w:val="en-US"/>
        </w:rPr>
        <w:t>)</w:t>
      </w:r>
      <w:r w:rsidRPr="00716193">
        <w:t xml:space="preserve">, съгласно клаузи в договорите за наем, </w:t>
      </w:r>
      <w:r w:rsidRPr="00716193">
        <w:rPr>
          <w:color w:val="000000"/>
        </w:rPr>
        <w:t>във връзка с установени забавяния при плащането на наемни цени от наемателите.</w:t>
      </w:r>
    </w:p>
    <w:p w:rsidR="00B23F75" w:rsidRPr="00716193" w:rsidRDefault="00B23F75" w:rsidP="00B23F75">
      <w:pPr>
        <w:jc w:val="both"/>
      </w:pPr>
      <w:r w:rsidRPr="00716193">
        <w:rPr>
          <w:color w:val="000000"/>
        </w:rPr>
        <w:tab/>
      </w:r>
      <w:r w:rsidRPr="00716193">
        <w:t>Състоянието на СФУК в изследваната област не е добро и същата не е ефективна, тъй като през одитирания период липсват достатъчни и адекватни контроли, които да предотвратят допуснатите несъответствия в изследваната област.</w:t>
      </w:r>
      <w:r w:rsidRPr="00716193">
        <w:tab/>
      </w:r>
    </w:p>
    <w:p w:rsidR="00B23F75" w:rsidRPr="00716193" w:rsidRDefault="00B23F75" w:rsidP="00B23F75">
      <w:pPr>
        <w:ind w:firstLine="708"/>
        <w:jc w:val="both"/>
      </w:pPr>
      <w:r w:rsidRPr="00716193">
        <w:t xml:space="preserve">В област на изследване </w:t>
      </w:r>
      <w:r w:rsidRPr="00716193">
        <w:rPr>
          <w:b/>
        </w:rPr>
        <w:t>„Управленски решения, свързани с възлагане на обществени поръчки“</w:t>
      </w:r>
      <w:r w:rsidRPr="00716193">
        <w:t xml:space="preserve"> съществуват несъответствия в някои съществени аспекти:</w:t>
      </w:r>
    </w:p>
    <w:p w:rsidR="00B23F75" w:rsidRPr="00716193" w:rsidRDefault="00B23F75" w:rsidP="00B23F75">
      <w:pPr>
        <w:ind w:firstLine="708"/>
        <w:jc w:val="both"/>
      </w:pPr>
      <w:r w:rsidRPr="00716193">
        <w:t>През одитирания период не е извършвано възлагане на обществените поръчки, основано на планиране, съгласно изискванията на „Вътрешните  правила за провеждане на процедури по възлагане на обществени поръчки в „Национална спортна база” ЕАД“,  действащи през по-голямата част от периода</w:t>
      </w:r>
      <w:r w:rsidRPr="00716193">
        <w:rPr>
          <w:i/>
        </w:rPr>
        <w:t xml:space="preserve">, </w:t>
      </w:r>
      <w:r w:rsidRPr="00716193">
        <w:t>с което е създаден риск за неправилна преценка на необходимостта от провеждане на процедури/поръчки и на вида им.</w:t>
      </w:r>
    </w:p>
    <w:p w:rsidR="00B23F75" w:rsidRPr="00716193" w:rsidRDefault="00B23F75" w:rsidP="00B23F75">
      <w:pPr>
        <w:tabs>
          <w:tab w:val="left" w:pos="720"/>
          <w:tab w:val="left" w:pos="9360"/>
        </w:tabs>
        <w:jc w:val="both"/>
      </w:pPr>
      <w:r w:rsidRPr="00716193">
        <w:rPr>
          <w:b/>
          <w:i/>
        </w:rPr>
        <w:tab/>
      </w:r>
      <w:r w:rsidRPr="00716193">
        <w:t>Пр</w:t>
      </w:r>
      <w:r w:rsidR="00D563F2" w:rsidRPr="00716193">
        <w:t>и провеждане</w:t>
      </w:r>
      <w:r w:rsidRPr="00716193">
        <w:t xml:space="preserve"> </w:t>
      </w:r>
      <w:r w:rsidR="00D563F2" w:rsidRPr="00716193">
        <w:t xml:space="preserve">на </w:t>
      </w:r>
      <w:r w:rsidRPr="00716193">
        <w:t>две процедури за възлагане на об</w:t>
      </w:r>
      <w:r w:rsidR="00A607C7" w:rsidRPr="00716193">
        <w:t>ществени поръчки по реда на ЗОП</w:t>
      </w:r>
      <w:r w:rsidRPr="00716193">
        <w:t xml:space="preserve"> </w:t>
      </w:r>
      <w:r w:rsidR="00D563F2" w:rsidRPr="00716193">
        <w:t xml:space="preserve">са установени </w:t>
      </w:r>
      <w:r w:rsidRPr="00716193">
        <w:t>отклонения от нормативните изисквания</w:t>
      </w:r>
      <w:r w:rsidR="00CE6A52" w:rsidRPr="00716193">
        <w:t xml:space="preserve">, както следва: </w:t>
      </w:r>
      <w:r w:rsidRPr="00716193">
        <w:t>в законо</w:t>
      </w:r>
      <w:r w:rsidR="00A607C7" w:rsidRPr="00716193">
        <w:t>-</w:t>
      </w:r>
      <w:r w:rsidRPr="00716193">
        <w:t>установения срок не е изпратена информация за един сключен договор до АОП, гаранциите за участие в процедурите са възстановени след законоустановения срок, до участниците в една от процедурите не е изпратено уведомление за прекратяването й.</w:t>
      </w:r>
    </w:p>
    <w:p w:rsidR="00B23F75" w:rsidRPr="00716193" w:rsidRDefault="00D50CCC" w:rsidP="00B23F75">
      <w:pPr>
        <w:tabs>
          <w:tab w:val="left" w:pos="720"/>
          <w:tab w:val="left" w:pos="9360"/>
        </w:tabs>
        <w:ind w:firstLine="709"/>
        <w:jc w:val="both"/>
        <w:rPr>
          <w:bCs/>
        </w:rPr>
      </w:pPr>
      <w:r w:rsidRPr="00716193">
        <w:t>При</w:t>
      </w:r>
      <w:r w:rsidR="00B23F75" w:rsidRPr="00716193">
        <w:t xml:space="preserve"> </w:t>
      </w:r>
      <w:r w:rsidR="00895F3E" w:rsidRPr="00716193">
        <w:t xml:space="preserve">сключването на договори със съответните изпълнители по едно от възлаганията чрез публична покана по реда на глава осма „а“ от ЗОП, </w:t>
      </w:r>
      <w:r w:rsidR="00B23F75" w:rsidRPr="00716193">
        <w:t>не</w:t>
      </w:r>
      <w:r w:rsidR="00895F3E" w:rsidRPr="00716193">
        <w:t xml:space="preserve"> са </w:t>
      </w:r>
      <w:r w:rsidR="00B23F75" w:rsidRPr="00716193">
        <w:t>представ</w:t>
      </w:r>
      <w:r w:rsidR="00895F3E" w:rsidRPr="00716193">
        <w:t>ени</w:t>
      </w:r>
      <w:r w:rsidR="00B23F75" w:rsidRPr="00716193">
        <w:t xml:space="preserve"> удостоверения по чл. 47, ал. 1, т. 1 от ЗОП за лицата по чл. 47, ал. 4 от същия закон.</w:t>
      </w:r>
      <w:r w:rsidR="00B23F75" w:rsidRPr="00716193" w:rsidDel="00B9539A">
        <w:t xml:space="preserve"> </w:t>
      </w:r>
      <w:r w:rsidR="00B23F75" w:rsidRPr="00716193">
        <w:t xml:space="preserve">Не е изпратена от възложителя обобщената информация за възложените поръчки по чл. 14, </w:t>
      </w:r>
      <w:r w:rsidR="00B23F75" w:rsidRPr="00716193">
        <w:br/>
        <w:t xml:space="preserve">ал. 4 и ал. 5 от ЗОП за 2013 г. </w:t>
      </w:r>
    </w:p>
    <w:p w:rsidR="00B23F75" w:rsidRPr="00716193" w:rsidRDefault="00895F3E" w:rsidP="00B23F75">
      <w:pPr>
        <w:pStyle w:val="NormalWeb"/>
        <w:spacing w:before="0" w:beforeAutospacing="0" w:after="0" w:afterAutospacing="0"/>
        <w:ind w:firstLine="708"/>
        <w:jc w:val="both"/>
        <w:rPr>
          <w:i/>
        </w:rPr>
      </w:pPr>
      <w:r w:rsidRPr="00716193">
        <w:t>В</w:t>
      </w:r>
      <w:r w:rsidR="00B23F75" w:rsidRPr="00716193">
        <w:t xml:space="preserve"> създаден</w:t>
      </w:r>
      <w:r w:rsidRPr="00716193">
        <w:t>ия</w:t>
      </w:r>
      <w:r w:rsidR="00B23F75" w:rsidRPr="00716193">
        <w:t xml:space="preserve"> профил на купувача, като обособена част от електронната ст</w:t>
      </w:r>
      <w:r w:rsidRPr="00716193">
        <w:t xml:space="preserve">раница на дружеството </w:t>
      </w:r>
      <w:r w:rsidR="00B23F75" w:rsidRPr="00716193">
        <w:t>липсва информация за идентификационен номер на всяка поръчка, дата на създаването на електронните преписки и дата на публикуване на съответната информация или документ, което затруднява установяването на спазването на сроковете за</w:t>
      </w:r>
      <w:r w:rsidRPr="00716193">
        <w:t xml:space="preserve"> </w:t>
      </w:r>
      <w:r w:rsidR="00B23F75" w:rsidRPr="00716193">
        <w:t>публикуване на информацията по чл. 22б, ал. 4 от ЗОП.</w:t>
      </w:r>
      <w:r w:rsidR="00B23F75" w:rsidRPr="00716193">
        <w:rPr>
          <w:i/>
        </w:rPr>
        <w:t xml:space="preserve"> </w:t>
      </w:r>
    </w:p>
    <w:p w:rsidR="00B23F75" w:rsidRPr="00716193" w:rsidRDefault="00895F3E" w:rsidP="00B23F75">
      <w:pPr>
        <w:pStyle w:val="NormalWeb"/>
        <w:spacing w:before="0" w:beforeAutospacing="0" w:after="0" w:afterAutospacing="0"/>
        <w:ind w:firstLine="708"/>
        <w:jc w:val="both"/>
      </w:pPr>
      <w:r w:rsidRPr="00716193">
        <w:t>П</w:t>
      </w:r>
      <w:r w:rsidR="00B23F75" w:rsidRPr="00716193">
        <w:t xml:space="preserve">рез одитирания период </w:t>
      </w:r>
      <w:r w:rsidRPr="00716193">
        <w:t xml:space="preserve">са сключени </w:t>
      </w:r>
      <w:r w:rsidR="00B23F75" w:rsidRPr="00716193">
        <w:t xml:space="preserve">договори за доставки, услуги и строително - монтажни работи за нуждите на „НСБ” ЕАД, стойността на които е изисквала възлагане по реда и условията на ЗОП, но не е спазен </w:t>
      </w:r>
      <w:r w:rsidRPr="00716193">
        <w:t>законоустановения</w:t>
      </w:r>
      <w:r w:rsidR="00A607C7" w:rsidRPr="00716193">
        <w:t>т</w:t>
      </w:r>
      <w:r w:rsidR="00B23F75" w:rsidRPr="00716193">
        <w:t xml:space="preserve"> ред</w:t>
      </w:r>
      <w:r w:rsidR="00330437" w:rsidRPr="00716193">
        <w:t>.</w:t>
      </w:r>
      <w:r w:rsidR="006E2151" w:rsidRPr="00716193">
        <w:rPr>
          <w:rStyle w:val="FootnoteReference"/>
        </w:rPr>
        <w:footnoteReference w:id="240"/>
      </w:r>
    </w:p>
    <w:p w:rsidR="00B23F75" w:rsidRPr="00716193" w:rsidRDefault="00B23F75" w:rsidP="00B23F75">
      <w:pPr>
        <w:pStyle w:val="Default"/>
        <w:ind w:firstLine="708"/>
        <w:jc w:val="both"/>
      </w:pPr>
      <w:r w:rsidRPr="00716193">
        <w:t xml:space="preserve">Състоянието </w:t>
      </w:r>
      <w:r w:rsidR="000D681E" w:rsidRPr="00716193">
        <w:t>на СФУК в изследваната област е недобро</w:t>
      </w:r>
      <w:r w:rsidRPr="00716193">
        <w:t xml:space="preserve">, тъй като в началото на одитирания период липсват писмено въведени контроли, а през останалата част от периода въведените контроли не са прилагани последователно. Взетите управленски решения по отношение на длъжностите, ангажирани с процеса по възлагане на обществените поръчки в дружеството, показват липса на добро разбиране за същността и значението на СФУК в </w:t>
      </w:r>
      <w:r w:rsidRPr="00716193">
        <w:lastRenderedPageBreak/>
        <w:t>изследваната област, поради което през одитирания период същата не функционира в съответствие с изискванията на ЗФУКПС.</w:t>
      </w:r>
    </w:p>
    <w:p w:rsidR="000C097A" w:rsidRPr="00716193" w:rsidRDefault="000C097A" w:rsidP="000C097A">
      <w:pPr>
        <w:pStyle w:val="NoSpacing"/>
        <w:ind w:firstLine="720"/>
        <w:jc w:val="both"/>
      </w:pPr>
    </w:p>
    <w:p w:rsidR="00FB3DDD" w:rsidRPr="00716193" w:rsidRDefault="008B739C" w:rsidP="006E2151">
      <w:pPr>
        <w:tabs>
          <w:tab w:val="left" w:pos="720"/>
        </w:tabs>
        <w:jc w:val="both"/>
        <w:rPr>
          <w:b/>
          <w:lang w:val="en-US"/>
        </w:rPr>
      </w:pPr>
      <w:r w:rsidRPr="00716193">
        <w:rPr>
          <w:i/>
          <w:color w:val="000000"/>
        </w:rPr>
        <w:tab/>
      </w:r>
      <w:r w:rsidR="00FB3DDD" w:rsidRPr="00716193">
        <w:rPr>
          <w:b/>
        </w:rPr>
        <w:t>Част пета</w:t>
      </w:r>
    </w:p>
    <w:p w:rsidR="00FB3DDD" w:rsidRPr="00716193" w:rsidRDefault="00FB3DDD" w:rsidP="00FB3DDD">
      <w:pPr>
        <w:spacing w:before="120"/>
        <w:ind w:firstLine="720"/>
        <w:jc w:val="both"/>
        <w:rPr>
          <w:b/>
        </w:rPr>
      </w:pPr>
      <w:r w:rsidRPr="00716193">
        <w:rPr>
          <w:b/>
        </w:rPr>
        <w:t>ПРЕПОРЪКИ</w:t>
      </w:r>
    </w:p>
    <w:p w:rsidR="00FB3DDD" w:rsidRPr="00716193" w:rsidRDefault="00FB3DDD" w:rsidP="00FB3DDD">
      <w:pPr>
        <w:ind w:firstLine="720"/>
        <w:jc w:val="both"/>
      </w:pPr>
    </w:p>
    <w:p w:rsidR="00FB3DDD" w:rsidRPr="00716193" w:rsidRDefault="00FB3DDD" w:rsidP="00FB3DDD">
      <w:pPr>
        <w:ind w:firstLine="720"/>
        <w:jc w:val="both"/>
      </w:pPr>
      <w:r w:rsidRPr="00716193">
        <w:t xml:space="preserve">В резултат на извършения одит се дават следните препоръки:  </w:t>
      </w:r>
    </w:p>
    <w:p w:rsidR="00FB3DDD" w:rsidRPr="00716193" w:rsidRDefault="00FB3DDD" w:rsidP="00FB3DDD">
      <w:pPr>
        <w:ind w:firstLine="720"/>
        <w:jc w:val="both"/>
      </w:pPr>
    </w:p>
    <w:p w:rsidR="004B6DC9" w:rsidRPr="00716193" w:rsidRDefault="004B6DC9" w:rsidP="004B6DC9">
      <w:pPr>
        <w:ind w:firstLine="720"/>
        <w:jc w:val="both"/>
        <w:rPr>
          <w:b/>
        </w:rPr>
      </w:pPr>
      <w:r w:rsidRPr="00716193">
        <w:rPr>
          <w:b/>
        </w:rPr>
        <w:t xml:space="preserve">1. Към Министъра на младежта и спорта, </w:t>
      </w:r>
      <w:r w:rsidR="00343C11" w:rsidRPr="00716193">
        <w:rPr>
          <w:b/>
        </w:rPr>
        <w:t>упражняващ правата на едноличен</w:t>
      </w:r>
      <w:r w:rsidRPr="00716193">
        <w:rPr>
          <w:b/>
        </w:rPr>
        <w:t xml:space="preserve"> собственик на капитала</w:t>
      </w:r>
    </w:p>
    <w:p w:rsidR="004B6DC9" w:rsidRPr="00716193" w:rsidRDefault="004B6DC9" w:rsidP="004B6DC9">
      <w:pPr>
        <w:pStyle w:val="NoSpacing"/>
        <w:jc w:val="both"/>
      </w:pPr>
      <w:r w:rsidRPr="00716193">
        <w:tab/>
        <w:t xml:space="preserve">1.1. Да </w:t>
      </w:r>
      <w:r w:rsidR="00E639FF" w:rsidRPr="00716193">
        <w:t>се</w:t>
      </w:r>
      <w:r w:rsidRPr="00716193">
        <w:t xml:space="preserve"> измени</w:t>
      </w:r>
      <w:r w:rsidR="00E639FF" w:rsidRPr="00716193">
        <w:t xml:space="preserve"> </w:t>
      </w:r>
      <w:r w:rsidRPr="00716193">
        <w:t>и допълни</w:t>
      </w:r>
      <w:r w:rsidR="00E639FF" w:rsidRPr="00716193">
        <w:t xml:space="preserve"> </w:t>
      </w:r>
      <w:r w:rsidRPr="00716193">
        <w:t>Устав</w:t>
      </w:r>
      <w:r w:rsidR="00112BEC">
        <w:t>ът</w:t>
      </w:r>
      <w:r w:rsidRPr="00716193">
        <w:t xml:space="preserve"> на </w:t>
      </w:r>
      <w:r w:rsidR="007A1BB9" w:rsidRPr="00716193">
        <w:t>„</w:t>
      </w:r>
      <w:r w:rsidRPr="00716193">
        <w:t>НСБ</w:t>
      </w:r>
      <w:r w:rsidR="007A1BB9" w:rsidRPr="00716193">
        <w:t>“</w:t>
      </w:r>
      <w:r w:rsidRPr="00716193">
        <w:t xml:space="preserve"> ЕАД в съответствие с Търговския закон във връзка с осигуряване пълнота на съдържащата се в него информация за структурата на капитала, включваща паричните и непаричните вноски.</w:t>
      </w:r>
      <w:r w:rsidRPr="00716193">
        <w:rPr>
          <w:rStyle w:val="FootnoteReference"/>
        </w:rPr>
        <w:footnoteReference w:id="241"/>
      </w:r>
    </w:p>
    <w:p w:rsidR="00C67CD3" w:rsidRPr="00716193" w:rsidRDefault="004B6DC9" w:rsidP="004B6DC9">
      <w:pPr>
        <w:pStyle w:val="NoSpacing"/>
        <w:jc w:val="both"/>
      </w:pPr>
      <w:r w:rsidRPr="00716193">
        <w:tab/>
        <w:t>1.2. Да одобри разработена и приета от Съвета на директорите бизнес програма за целия срок на управление.</w:t>
      </w:r>
      <w:r w:rsidRPr="00716193">
        <w:rPr>
          <w:rStyle w:val="FootnoteReference"/>
        </w:rPr>
        <w:footnoteReference w:id="242"/>
      </w:r>
    </w:p>
    <w:p w:rsidR="004B6DC9" w:rsidRPr="00716193" w:rsidRDefault="004B6DC9" w:rsidP="004B6DC9">
      <w:pPr>
        <w:pStyle w:val="NoSpacing"/>
        <w:jc w:val="both"/>
      </w:pPr>
      <w:r w:rsidRPr="00716193">
        <w:t xml:space="preserve"> </w:t>
      </w:r>
    </w:p>
    <w:p w:rsidR="003168C3" w:rsidRPr="00716193" w:rsidRDefault="004B6DC9" w:rsidP="003168C3">
      <w:pPr>
        <w:ind w:firstLine="720"/>
        <w:jc w:val="both"/>
        <w:rPr>
          <w:b/>
        </w:rPr>
      </w:pPr>
      <w:r w:rsidRPr="00716193">
        <w:rPr>
          <w:b/>
        </w:rPr>
        <w:t>2</w:t>
      </w:r>
      <w:r w:rsidR="00FB3DDD" w:rsidRPr="00716193">
        <w:rPr>
          <w:b/>
        </w:rPr>
        <w:t xml:space="preserve">. </w:t>
      </w:r>
      <w:r w:rsidR="003168C3" w:rsidRPr="00716193">
        <w:rPr>
          <w:b/>
        </w:rPr>
        <w:t xml:space="preserve">Към Съвета на директорите на </w:t>
      </w:r>
      <w:r w:rsidR="007A1BB9" w:rsidRPr="00716193">
        <w:rPr>
          <w:b/>
        </w:rPr>
        <w:t>„</w:t>
      </w:r>
      <w:r w:rsidR="003168C3" w:rsidRPr="00716193">
        <w:rPr>
          <w:b/>
        </w:rPr>
        <w:t>НСБ</w:t>
      </w:r>
      <w:r w:rsidR="007A1BB9" w:rsidRPr="00716193">
        <w:rPr>
          <w:b/>
        </w:rPr>
        <w:t>“</w:t>
      </w:r>
      <w:r w:rsidR="003168C3" w:rsidRPr="00716193">
        <w:rPr>
          <w:b/>
        </w:rPr>
        <w:t xml:space="preserve"> ЕАД</w:t>
      </w:r>
    </w:p>
    <w:p w:rsidR="003168C3" w:rsidRPr="00716193" w:rsidRDefault="004B6DC9" w:rsidP="003168C3">
      <w:pPr>
        <w:ind w:firstLine="720"/>
        <w:jc w:val="both"/>
      </w:pPr>
      <w:r w:rsidRPr="00716193">
        <w:t>2</w:t>
      </w:r>
      <w:r w:rsidR="003168C3" w:rsidRPr="00716193">
        <w:t>.1. Да утвър</w:t>
      </w:r>
      <w:r w:rsidR="00DE55A7" w:rsidRPr="00716193">
        <w:t>ди</w:t>
      </w:r>
      <w:r w:rsidR="003168C3" w:rsidRPr="00716193">
        <w:t xml:space="preserve"> Стратегия за развитие на </w:t>
      </w:r>
      <w:r w:rsidR="007A1BB9" w:rsidRPr="00716193">
        <w:t>„</w:t>
      </w:r>
      <w:r w:rsidR="003168C3" w:rsidRPr="00716193">
        <w:t>НСБ</w:t>
      </w:r>
      <w:r w:rsidR="007A1BB9" w:rsidRPr="00716193">
        <w:t>“</w:t>
      </w:r>
      <w:r w:rsidR="003168C3" w:rsidRPr="00716193">
        <w:t xml:space="preserve"> ЕАД.</w:t>
      </w:r>
      <w:r w:rsidR="003168C3" w:rsidRPr="00716193">
        <w:rPr>
          <w:rStyle w:val="FootnoteReference"/>
        </w:rPr>
        <w:footnoteReference w:id="243"/>
      </w:r>
    </w:p>
    <w:p w:rsidR="003168C3" w:rsidRPr="00716193" w:rsidRDefault="004B6DC9" w:rsidP="003168C3">
      <w:pPr>
        <w:ind w:firstLine="720"/>
        <w:jc w:val="both"/>
        <w:rPr>
          <w:spacing w:val="-2"/>
        </w:rPr>
      </w:pPr>
      <w:r w:rsidRPr="00716193">
        <w:t>2</w:t>
      </w:r>
      <w:r w:rsidR="003168C3" w:rsidRPr="00716193">
        <w:t xml:space="preserve">.2. Да разработи и приеме </w:t>
      </w:r>
      <w:r w:rsidR="003168C3" w:rsidRPr="00716193">
        <w:rPr>
          <w:spacing w:val="-2"/>
        </w:rPr>
        <w:t>бизнес програма на дружеството за целия срок на управление, съгласно договорите за управление, както и бизнес програма за всяка отделна година, в съответствие със стратегията за развитие на дружеството.</w:t>
      </w:r>
      <w:r w:rsidR="003168C3" w:rsidRPr="00716193">
        <w:rPr>
          <w:rStyle w:val="FootnoteReference"/>
          <w:spacing w:val="-2"/>
        </w:rPr>
        <w:footnoteReference w:id="244"/>
      </w:r>
    </w:p>
    <w:p w:rsidR="003168C3" w:rsidRPr="00716193" w:rsidRDefault="004B6DC9" w:rsidP="003168C3">
      <w:pPr>
        <w:ind w:firstLine="720"/>
        <w:jc w:val="both"/>
      </w:pPr>
      <w:r w:rsidRPr="00716193">
        <w:rPr>
          <w:spacing w:val="-2"/>
        </w:rPr>
        <w:t>2</w:t>
      </w:r>
      <w:r w:rsidR="003168C3" w:rsidRPr="00716193">
        <w:rPr>
          <w:spacing w:val="-2"/>
        </w:rPr>
        <w:t xml:space="preserve">.3.  </w:t>
      </w:r>
      <w:r w:rsidR="003168C3" w:rsidRPr="00716193">
        <w:t xml:space="preserve">Да актуализира и утвърди </w:t>
      </w:r>
      <w:r w:rsidR="0005489D" w:rsidRPr="00716193">
        <w:t>„</w:t>
      </w:r>
      <w:r w:rsidR="003168C3" w:rsidRPr="00716193">
        <w:t xml:space="preserve">Правилника за устройството и дейността на </w:t>
      </w:r>
      <w:r w:rsidR="007A1BB9" w:rsidRPr="00716193">
        <w:t>„</w:t>
      </w:r>
      <w:r w:rsidR="003168C3" w:rsidRPr="00716193">
        <w:t>НСБ</w:t>
      </w:r>
      <w:r w:rsidR="007A1BB9" w:rsidRPr="00716193">
        <w:t>“</w:t>
      </w:r>
      <w:r w:rsidR="003168C3" w:rsidRPr="00716193">
        <w:t xml:space="preserve"> ЕАД</w:t>
      </w:r>
      <w:r w:rsidR="0005489D" w:rsidRPr="00716193">
        <w:t>“</w:t>
      </w:r>
      <w:r w:rsidR="00B22B67" w:rsidRPr="00716193">
        <w:t xml:space="preserve"> в съответствие с</w:t>
      </w:r>
      <w:r w:rsidR="003168C3" w:rsidRPr="00716193">
        <w:t xml:space="preserve"> организационна</w:t>
      </w:r>
      <w:r w:rsidR="00B22B67" w:rsidRPr="00716193">
        <w:t>та</w:t>
      </w:r>
      <w:r w:rsidR="003168C3" w:rsidRPr="00716193">
        <w:t xml:space="preserve"> структура на дружеството.</w:t>
      </w:r>
      <w:r w:rsidR="003168C3" w:rsidRPr="00716193">
        <w:rPr>
          <w:rStyle w:val="FootnoteReference"/>
        </w:rPr>
        <w:footnoteReference w:id="245"/>
      </w:r>
      <w:r w:rsidR="003168C3" w:rsidRPr="00716193">
        <w:t xml:space="preserve"> </w:t>
      </w:r>
    </w:p>
    <w:p w:rsidR="003168C3" w:rsidRPr="00716193" w:rsidRDefault="004B6DC9" w:rsidP="003168C3">
      <w:pPr>
        <w:ind w:firstLine="720"/>
        <w:jc w:val="both"/>
      </w:pPr>
      <w:r w:rsidRPr="00716193">
        <w:t>2</w:t>
      </w:r>
      <w:r w:rsidR="003168C3" w:rsidRPr="00716193">
        <w:t xml:space="preserve">.4. Да се разработи и утвърди по установения ред вътрешен акт за предварителен и текущ контрол на процедурите за отдаване под наем на активи на </w:t>
      </w:r>
      <w:r w:rsidR="007A1BB9" w:rsidRPr="00716193">
        <w:t>„</w:t>
      </w:r>
      <w:r w:rsidR="003168C3" w:rsidRPr="00716193">
        <w:t>НСБ</w:t>
      </w:r>
      <w:r w:rsidR="007A1BB9" w:rsidRPr="00716193">
        <w:t>“</w:t>
      </w:r>
      <w:r w:rsidR="003168C3" w:rsidRPr="00716193">
        <w:t xml:space="preserve"> ЕАД, който да гарантира законосъобразност </w:t>
      </w:r>
      <w:r w:rsidR="00DE55A7" w:rsidRPr="00716193">
        <w:t>при</w:t>
      </w:r>
      <w:r w:rsidR="003168C3" w:rsidRPr="00716193">
        <w:t xml:space="preserve"> сключ</w:t>
      </w:r>
      <w:r w:rsidR="00DE55A7" w:rsidRPr="00716193">
        <w:t>ването на</w:t>
      </w:r>
      <w:r w:rsidR="003168C3" w:rsidRPr="00716193">
        <w:t xml:space="preserve"> договори за отдаване под наем на активи и тяхното изпълнение, с конкретно </w:t>
      </w:r>
      <w:r w:rsidR="005C31A4" w:rsidRPr="00716193">
        <w:t>определе</w:t>
      </w:r>
      <w:r w:rsidR="003168C3" w:rsidRPr="00716193">
        <w:t>ни дейности, отговорни звена/лица, взаимоотношения, срокове и документи, удостоверяващи извършения вид контрол.</w:t>
      </w:r>
      <w:r w:rsidR="003168C3" w:rsidRPr="00716193">
        <w:rPr>
          <w:rStyle w:val="FootnoteReference"/>
        </w:rPr>
        <w:footnoteReference w:id="246"/>
      </w:r>
    </w:p>
    <w:p w:rsidR="003168C3" w:rsidRPr="00716193" w:rsidRDefault="004B6DC9" w:rsidP="003168C3">
      <w:pPr>
        <w:tabs>
          <w:tab w:val="left" w:pos="1120"/>
        </w:tabs>
        <w:spacing w:line="20" w:lineRule="atLeast"/>
        <w:ind w:firstLine="700"/>
        <w:jc w:val="both"/>
      </w:pPr>
      <w:r w:rsidRPr="00716193">
        <w:t>2</w:t>
      </w:r>
      <w:r w:rsidR="003168C3" w:rsidRPr="00716193">
        <w:t xml:space="preserve">.5. Да </w:t>
      </w:r>
      <w:r w:rsidR="00E639FF" w:rsidRPr="00716193">
        <w:t xml:space="preserve">се въведат контролни дейности, свързани със своевременното проследяване на изпълнението по договорите и текущо начисляване на неустойки </w:t>
      </w:r>
      <w:r w:rsidR="00E639FF" w:rsidRPr="00716193">
        <w:rPr>
          <w:lang w:val="en-US"/>
        </w:rPr>
        <w:t>(</w:t>
      </w:r>
      <w:r w:rsidR="00E639FF" w:rsidRPr="00716193">
        <w:t>лихви</w:t>
      </w:r>
      <w:r w:rsidR="00E639FF" w:rsidRPr="00716193">
        <w:rPr>
          <w:lang w:val="en-US"/>
        </w:rPr>
        <w:t>)</w:t>
      </w:r>
      <w:r w:rsidR="00E639FF" w:rsidRPr="00716193">
        <w:t xml:space="preserve"> </w:t>
      </w:r>
      <w:r w:rsidR="003168C3" w:rsidRPr="00716193">
        <w:t>при забава на плащанията по договорите за наем.</w:t>
      </w:r>
      <w:r w:rsidR="003168C3" w:rsidRPr="00716193">
        <w:rPr>
          <w:rStyle w:val="FootnoteReference"/>
        </w:rPr>
        <w:footnoteReference w:id="247"/>
      </w:r>
    </w:p>
    <w:p w:rsidR="0052245C" w:rsidRDefault="0052245C" w:rsidP="003168C3">
      <w:pPr>
        <w:tabs>
          <w:tab w:val="left" w:pos="1120"/>
        </w:tabs>
        <w:spacing w:line="20" w:lineRule="atLeast"/>
        <w:ind w:firstLine="700"/>
        <w:jc w:val="both"/>
        <w:rPr>
          <w:b/>
          <w:lang w:val="en-US"/>
        </w:rPr>
      </w:pPr>
    </w:p>
    <w:p w:rsidR="000450F6" w:rsidRDefault="000450F6" w:rsidP="003168C3">
      <w:pPr>
        <w:tabs>
          <w:tab w:val="left" w:pos="1120"/>
        </w:tabs>
        <w:spacing w:line="20" w:lineRule="atLeast"/>
        <w:ind w:firstLine="700"/>
        <w:jc w:val="both"/>
        <w:rPr>
          <w:b/>
          <w:lang w:val="en-US"/>
        </w:rPr>
      </w:pPr>
    </w:p>
    <w:p w:rsidR="000450F6" w:rsidRPr="000450F6" w:rsidRDefault="000450F6" w:rsidP="003168C3">
      <w:pPr>
        <w:tabs>
          <w:tab w:val="left" w:pos="1120"/>
        </w:tabs>
        <w:spacing w:line="20" w:lineRule="atLeast"/>
        <w:ind w:firstLine="700"/>
        <w:jc w:val="both"/>
        <w:rPr>
          <w:b/>
          <w:lang w:val="en-US"/>
        </w:rPr>
      </w:pPr>
    </w:p>
    <w:p w:rsidR="00511D66" w:rsidRPr="00716193" w:rsidRDefault="00511D66" w:rsidP="00511D66">
      <w:pPr>
        <w:ind w:firstLine="720"/>
        <w:jc w:val="both"/>
        <w:rPr>
          <w:b/>
        </w:rPr>
      </w:pPr>
      <w:r w:rsidRPr="00716193">
        <w:rPr>
          <w:b/>
        </w:rPr>
        <w:lastRenderedPageBreak/>
        <w:t xml:space="preserve">3. Към изпълнителния директор на </w:t>
      </w:r>
      <w:r w:rsidR="007A1BB9" w:rsidRPr="00716193">
        <w:rPr>
          <w:b/>
        </w:rPr>
        <w:t>„</w:t>
      </w:r>
      <w:r w:rsidRPr="00716193">
        <w:rPr>
          <w:b/>
        </w:rPr>
        <w:t>НСБ</w:t>
      </w:r>
      <w:r w:rsidR="007A1BB9" w:rsidRPr="00716193">
        <w:rPr>
          <w:b/>
        </w:rPr>
        <w:t>“</w:t>
      </w:r>
      <w:r w:rsidRPr="00716193">
        <w:rPr>
          <w:b/>
        </w:rPr>
        <w:t xml:space="preserve"> ЕАД</w:t>
      </w:r>
    </w:p>
    <w:p w:rsidR="00E64952" w:rsidRPr="00716193" w:rsidRDefault="00E64952" w:rsidP="00E64952">
      <w:pPr>
        <w:ind w:firstLine="709"/>
        <w:jc w:val="both"/>
      </w:pPr>
      <w:r w:rsidRPr="00716193">
        <w:t>3.1. Да се преструктурира Профила на купувача на дружеството в съответствие с нормативните изисквания, като се създаде технологична възможност за публикуване на електронните преписки и документите, съдържащи се в тях, със самостоятелен идентификационен номер и достоверна дата на създаването и публикуването им.</w:t>
      </w:r>
      <w:r w:rsidRPr="00716193">
        <w:rPr>
          <w:rStyle w:val="FootnoteReference"/>
        </w:rPr>
        <w:footnoteReference w:id="248"/>
      </w:r>
    </w:p>
    <w:p w:rsidR="00E64952" w:rsidRPr="00716193" w:rsidRDefault="00E64952" w:rsidP="00E64952">
      <w:pPr>
        <w:ind w:firstLine="709"/>
        <w:jc w:val="both"/>
      </w:pPr>
      <w:r w:rsidRPr="00716193">
        <w:t>3.</w:t>
      </w:r>
      <w:r w:rsidR="003B1C4C" w:rsidRPr="00716193">
        <w:t>2</w:t>
      </w:r>
      <w:r w:rsidRPr="00716193">
        <w:t>.</w:t>
      </w:r>
      <w:r w:rsidR="005C31A4" w:rsidRPr="00716193">
        <w:t xml:space="preserve"> Да се анализират</w:t>
      </w:r>
      <w:r w:rsidRPr="00716193">
        <w:t xml:space="preserve"> всички незаконосъобразно сключени договори в областта на застраховането и охраната, с оглед привеждането им в съответствие с нормативната рамка.</w:t>
      </w:r>
      <w:r w:rsidRPr="00716193">
        <w:rPr>
          <w:rStyle w:val="FootnoteReference"/>
        </w:rPr>
        <w:footnoteReference w:id="249"/>
      </w:r>
    </w:p>
    <w:p w:rsidR="00E64952" w:rsidRPr="00716193" w:rsidRDefault="00E64952" w:rsidP="00511D66">
      <w:pPr>
        <w:ind w:firstLine="709"/>
        <w:jc w:val="both"/>
      </w:pPr>
    </w:p>
    <w:p w:rsidR="00FB3DDD" w:rsidRPr="00716193" w:rsidRDefault="00FB3DDD" w:rsidP="00FB3DDD">
      <w:pPr>
        <w:spacing w:before="120"/>
        <w:ind w:firstLine="720"/>
        <w:jc w:val="both"/>
        <w:rPr>
          <w:b/>
        </w:rPr>
      </w:pPr>
      <w:r w:rsidRPr="00716193">
        <w:rPr>
          <w:b/>
        </w:rPr>
        <w:t>Част шеста</w:t>
      </w:r>
    </w:p>
    <w:p w:rsidR="00FB3DDD" w:rsidRPr="00716193" w:rsidRDefault="00FB3DDD" w:rsidP="00FB3DDD">
      <w:pPr>
        <w:spacing w:before="120" w:after="120"/>
        <w:ind w:firstLine="720"/>
        <w:jc w:val="both"/>
        <w:rPr>
          <w:b/>
        </w:rPr>
      </w:pPr>
      <w:r w:rsidRPr="00716193">
        <w:rPr>
          <w:b/>
        </w:rPr>
        <w:t>ОТГОВОРИ НА ОДИТИРАНАТА ОРГАНИЗАЦИЯ</w:t>
      </w:r>
    </w:p>
    <w:p w:rsidR="002B7A47" w:rsidRPr="004D31EF" w:rsidRDefault="004D48D0" w:rsidP="002B7A47">
      <w:pPr>
        <w:ind w:firstLine="720"/>
        <w:jc w:val="both"/>
        <w:rPr>
          <w:b/>
        </w:rPr>
      </w:pPr>
      <w:r w:rsidRPr="00716193">
        <w:t xml:space="preserve">Фактите и обстоятелствата, установени при одита и отразени в проекта на одитен доклад са съгласувани с представители на одитираната организация. </w:t>
      </w:r>
      <w:r w:rsidR="0043456C" w:rsidRPr="00716193">
        <w:rPr>
          <w:lang w:eastAsia="en-US"/>
        </w:rPr>
        <w:t>Представителите</w:t>
      </w:r>
      <w:r w:rsidR="0043456C" w:rsidRPr="00716193">
        <w:t xml:space="preserve"> </w:t>
      </w:r>
      <w:r w:rsidRPr="00716193">
        <w:t xml:space="preserve">на „Национална спортна база“ ЕАД </w:t>
      </w:r>
      <w:r w:rsidR="0043456C" w:rsidRPr="00716193">
        <w:rPr>
          <w:lang w:eastAsia="en-US"/>
        </w:rPr>
        <w:t xml:space="preserve">изразяват </w:t>
      </w:r>
      <w:r w:rsidR="0043456C" w:rsidRPr="00716193">
        <w:t>пълно съгласие и приемат напълно (изцяло) установените факти и обстоятелства</w:t>
      </w:r>
      <w:r w:rsidR="0043456C" w:rsidRPr="00716193">
        <w:rPr>
          <w:lang w:val="en-US"/>
        </w:rPr>
        <w:t>.</w:t>
      </w:r>
      <w:r w:rsidR="00AB2915" w:rsidRPr="00716193">
        <w:rPr>
          <w:rStyle w:val="FootnoteReference"/>
        </w:rPr>
        <w:footnoteReference w:id="250"/>
      </w:r>
      <w:r w:rsidR="002B7A47" w:rsidRPr="002B7A47">
        <w:t xml:space="preserve"> </w:t>
      </w:r>
      <w:r w:rsidR="002B7A47" w:rsidRPr="004D31EF">
        <w:t xml:space="preserve">Представените по време на одита отговори на въпроси от отговорните длъжностни лица са взети предвид при оценяването на одитираната област. </w:t>
      </w:r>
    </w:p>
    <w:p w:rsidR="00343C11" w:rsidRDefault="00616029" w:rsidP="00616029">
      <w:pPr>
        <w:jc w:val="both"/>
      </w:pPr>
      <w:r w:rsidRPr="00716193">
        <w:tab/>
      </w:r>
    </w:p>
    <w:p w:rsidR="0052245C" w:rsidRPr="00716193" w:rsidRDefault="0052245C" w:rsidP="00616029">
      <w:pPr>
        <w:jc w:val="both"/>
      </w:pPr>
    </w:p>
    <w:p w:rsidR="009909AE" w:rsidRPr="00716193" w:rsidRDefault="009909AE" w:rsidP="009909AE">
      <w:pPr>
        <w:ind w:firstLine="720"/>
        <w:jc w:val="both"/>
      </w:pPr>
      <w:r w:rsidRPr="00716193">
        <w:t>В подкрепа на констатациите от одитния доклад са събрани 137 броя одитни доказателства, които заедно с работните документи, отразяващи отделните етапи на одитния процес, се намират в Сметната палата. При необходимост лицата по чл. 4</w:t>
      </w:r>
      <w:r w:rsidRPr="00716193">
        <w:rPr>
          <w:lang w:val="en-US"/>
        </w:rPr>
        <w:t>7</w:t>
      </w:r>
      <w:r w:rsidRPr="00716193">
        <w:t xml:space="preserve">, ал. 1 от Закона за Сметната палата могат да се запознаят с тяхното съдържание на адрес: </w:t>
      </w:r>
      <w:r w:rsidRPr="00716193">
        <w:br/>
        <w:t>гр. София, ул. „Екзарх Йосиф” № 37, Одитна дирекция „Специфични одити“.</w:t>
      </w:r>
    </w:p>
    <w:p w:rsidR="0052245C" w:rsidRDefault="0052245C" w:rsidP="00343C11">
      <w:pPr>
        <w:ind w:firstLine="720"/>
        <w:jc w:val="both"/>
      </w:pPr>
    </w:p>
    <w:p w:rsidR="00B728F8" w:rsidRPr="003F477C" w:rsidRDefault="00B728F8" w:rsidP="00EF4AA0">
      <w:pPr>
        <w:ind w:firstLine="567"/>
        <w:jc w:val="both"/>
        <w:rPr>
          <w:bCs/>
          <w:iCs/>
          <w:color w:val="000000"/>
        </w:rPr>
      </w:pPr>
      <w:r w:rsidRPr="003F477C">
        <w:rPr>
          <w:bCs/>
          <w:iCs/>
          <w:color w:val="000000"/>
        </w:rPr>
        <w:t>На основание чл. 50, ал. 2 от Закона за Сметната палата</w:t>
      </w:r>
      <w:r w:rsidRPr="003F477C">
        <w:rPr>
          <w:bCs/>
          <w:iCs/>
          <w:color w:val="000000"/>
          <w:vertAlign w:val="superscript"/>
        </w:rPr>
        <w:footnoteReference w:id="251"/>
      </w:r>
      <w:r w:rsidRPr="003F477C">
        <w:rPr>
          <w:bCs/>
          <w:iCs/>
          <w:color w:val="000000"/>
        </w:rPr>
        <w:t xml:space="preserve">, в срок до </w:t>
      </w:r>
      <w:r>
        <w:rPr>
          <w:b/>
          <w:bCs/>
          <w:i/>
          <w:iCs/>
          <w:color w:val="000000"/>
        </w:rPr>
        <w:t>три</w:t>
      </w:r>
      <w:r w:rsidRPr="00EF4AA0">
        <w:rPr>
          <w:b/>
          <w:bCs/>
          <w:i/>
          <w:iCs/>
          <w:color w:val="000000"/>
        </w:rPr>
        <w:t xml:space="preserve"> месеца</w:t>
      </w:r>
      <w:r w:rsidRPr="003F477C">
        <w:rPr>
          <w:bCs/>
          <w:iCs/>
          <w:color w:val="000000"/>
        </w:rPr>
        <w:t xml:space="preserve"> от получаване на настоящия доклад, </w:t>
      </w:r>
      <w:r w:rsidR="00F30BC2">
        <w:rPr>
          <w:bCs/>
          <w:iCs/>
          <w:color w:val="000000"/>
        </w:rPr>
        <w:t xml:space="preserve">отговорните </w:t>
      </w:r>
      <w:r w:rsidRPr="00F30BC2">
        <w:rPr>
          <w:bCs/>
          <w:iCs/>
          <w:color w:val="000000"/>
        </w:rPr>
        <w:t>лица</w:t>
      </w:r>
      <w:r>
        <w:rPr>
          <w:bCs/>
          <w:iCs/>
          <w:color w:val="000000"/>
        </w:rPr>
        <w:t xml:space="preserve"> следва да предприемат</w:t>
      </w:r>
      <w:r w:rsidRPr="003F477C">
        <w:rPr>
          <w:bCs/>
          <w:iCs/>
          <w:color w:val="000000"/>
        </w:rPr>
        <w:t xml:space="preserve"> мерки за изпълнение на препоръките и да уведом</w:t>
      </w:r>
      <w:r>
        <w:rPr>
          <w:bCs/>
          <w:iCs/>
          <w:color w:val="000000"/>
        </w:rPr>
        <w:t>ят</w:t>
      </w:r>
      <w:r w:rsidRPr="003F477C">
        <w:rPr>
          <w:bCs/>
          <w:iCs/>
          <w:color w:val="000000"/>
        </w:rPr>
        <w:t xml:space="preserve"> писмено за това председателя на Сметната палата.</w:t>
      </w:r>
    </w:p>
    <w:p w:rsidR="00B728F8" w:rsidRPr="003F477C" w:rsidRDefault="00B728F8" w:rsidP="00EF4AA0">
      <w:pPr>
        <w:ind w:firstLine="567"/>
        <w:jc w:val="both"/>
        <w:rPr>
          <w:bCs/>
          <w:iCs/>
          <w:color w:val="000000"/>
        </w:rPr>
      </w:pPr>
    </w:p>
    <w:p w:rsidR="00B728F8" w:rsidRPr="003F477C" w:rsidRDefault="00B728F8" w:rsidP="00EF4AA0">
      <w:pPr>
        <w:ind w:firstLine="567"/>
        <w:jc w:val="both"/>
        <w:rPr>
          <w:bCs/>
          <w:iCs/>
          <w:color w:val="000000"/>
        </w:rPr>
      </w:pPr>
      <w:r w:rsidRPr="003F477C">
        <w:rPr>
          <w:bCs/>
          <w:iCs/>
          <w:color w:val="000000"/>
        </w:rPr>
        <w:t xml:space="preserve">Настоящият одитен доклад е приет на основание чл. 48, ал. 1 от Закона за Сметната палата с Решение № </w:t>
      </w:r>
      <w:r w:rsidR="00EF4AA0">
        <w:rPr>
          <w:bCs/>
          <w:iCs/>
          <w:color w:val="000000"/>
          <w:lang w:val="en-US"/>
        </w:rPr>
        <w:t xml:space="preserve">165 </w:t>
      </w:r>
      <w:r w:rsidRPr="003F477C">
        <w:rPr>
          <w:bCs/>
          <w:iCs/>
          <w:color w:val="000000"/>
        </w:rPr>
        <w:t xml:space="preserve">от </w:t>
      </w:r>
      <w:r w:rsidR="002C2389">
        <w:rPr>
          <w:bCs/>
          <w:iCs/>
          <w:color w:val="000000"/>
          <w:lang w:val="en-US"/>
        </w:rPr>
        <w:t>22.10.</w:t>
      </w:r>
      <w:r w:rsidRPr="003F477C">
        <w:rPr>
          <w:bCs/>
          <w:iCs/>
          <w:color w:val="000000"/>
        </w:rPr>
        <w:t>2015 г. на Сметната палата.</w:t>
      </w:r>
    </w:p>
    <w:p w:rsidR="002B7A47" w:rsidRDefault="002B7A47" w:rsidP="00B728F8">
      <w:pPr>
        <w:tabs>
          <w:tab w:val="left" w:pos="1080"/>
          <w:tab w:val="left" w:pos="1260"/>
        </w:tabs>
        <w:ind w:left="4253"/>
        <w:jc w:val="both"/>
        <w:rPr>
          <w:b/>
        </w:rPr>
      </w:pPr>
    </w:p>
    <w:p w:rsidR="002B7A47" w:rsidRDefault="002B7A47" w:rsidP="00B728F8">
      <w:pPr>
        <w:tabs>
          <w:tab w:val="left" w:pos="1080"/>
          <w:tab w:val="left" w:pos="1260"/>
        </w:tabs>
        <w:ind w:left="4253"/>
        <w:jc w:val="both"/>
        <w:rPr>
          <w:b/>
          <w:lang w:val="en-US"/>
        </w:rPr>
      </w:pPr>
    </w:p>
    <w:p w:rsidR="00406875" w:rsidRPr="00406875" w:rsidRDefault="00406875" w:rsidP="00B728F8">
      <w:pPr>
        <w:tabs>
          <w:tab w:val="left" w:pos="1080"/>
          <w:tab w:val="left" w:pos="1260"/>
        </w:tabs>
        <w:ind w:left="4253"/>
        <w:jc w:val="both"/>
        <w:rPr>
          <w:b/>
          <w:lang w:val="en-US"/>
        </w:rPr>
      </w:pPr>
    </w:p>
    <w:p w:rsidR="002C2389" w:rsidRDefault="002C2389" w:rsidP="00716193">
      <w:pPr>
        <w:jc w:val="center"/>
        <w:rPr>
          <w:b/>
          <w:bCs/>
          <w:lang w:val="en-US"/>
        </w:rPr>
      </w:pPr>
    </w:p>
    <w:p w:rsidR="00701B37" w:rsidRDefault="00701B37" w:rsidP="00716193">
      <w:pPr>
        <w:jc w:val="center"/>
        <w:rPr>
          <w:b/>
          <w:bCs/>
          <w:lang w:val="en-US"/>
        </w:rPr>
      </w:pPr>
    </w:p>
    <w:p w:rsidR="00701B37" w:rsidRDefault="00701B37" w:rsidP="00716193">
      <w:pPr>
        <w:jc w:val="center"/>
        <w:rPr>
          <w:b/>
          <w:bCs/>
          <w:lang w:val="en-US"/>
        </w:rPr>
      </w:pPr>
    </w:p>
    <w:p w:rsidR="00701B37" w:rsidRDefault="00701B37" w:rsidP="00716193">
      <w:pPr>
        <w:jc w:val="center"/>
        <w:rPr>
          <w:b/>
          <w:bCs/>
          <w:lang w:val="en-US"/>
        </w:rPr>
      </w:pPr>
      <w:bookmarkStart w:id="0" w:name="_GoBack"/>
      <w:bookmarkEnd w:id="0"/>
    </w:p>
    <w:p w:rsidR="002C2389" w:rsidRDefault="002C2389" w:rsidP="00716193">
      <w:pPr>
        <w:jc w:val="center"/>
        <w:rPr>
          <w:b/>
          <w:bCs/>
          <w:lang w:val="en-US"/>
        </w:rPr>
      </w:pPr>
    </w:p>
    <w:p w:rsidR="002C2389" w:rsidRDefault="002C2389" w:rsidP="00716193">
      <w:pPr>
        <w:jc w:val="center"/>
        <w:rPr>
          <w:b/>
          <w:bCs/>
          <w:lang w:val="en-US"/>
        </w:rPr>
      </w:pPr>
    </w:p>
    <w:p w:rsidR="002C2389" w:rsidRDefault="002C2389" w:rsidP="00716193">
      <w:pPr>
        <w:jc w:val="center"/>
        <w:rPr>
          <w:b/>
          <w:bCs/>
          <w:lang w:val="en-US"/>
        </w:rPr>
      </w:pPr>
    </w:p>
    <w:p w:rsidR="002C2389" w:rsidRDefault="002C2389" w:rsidP="00716193">
      <w:pPr>
        <w:jc w:val="center"/>
        <w:rPr>
          <w:b/>
          <w:bCs/>
          <w:lang w:val="en-US"/>
        </w:rPr>
      </w:pPr>
    </w:p>
    <w:p w:rsidR="00716193" w:rsidRPr="00716193" w:rsidRDefault="00FB3DDD" w:rsidP="00716193">
      <w:pPr>
        <w:jc w:val="center"/>
        <w:rPr>
          <w:b/>
          <w:bCs/>
        </w:rPr>
      </w:pPr>
      <w:r w:rsidRPr="00716193">
        <w:rPr>
          <w:b/>
          <w:bCs/>
        </w:rPr>
        <w:lastRenderedPageBreak/>
        <w:t>ОПИС НА ОДИТНИТЕ ДОКАЗАТЕЛСТВА</w:t>
      </w:r>
    </w:p>
    <w:p w:rsidR="00FB3DDD" w:rsidRPr="00716193" w:rsidRDefault="00FB3DDD" w:rsidP="00716193">
      <w:pPr>
        <w:jc w:val="center"/>
        <w:rPr>
          <w:b/>
          <w:bCs/>
        </w:rPr>
      </w:pPr>
      <w:r w:rsidRPr="00716193">
        <w:rPr>
          <w:b/>
          <w:bCs/>
        </w:rPr>
        <w:t xml:space="preserve">КЪМ ОДИТЕН ДОКЛАД № </w:t>
      </w:r>
      <w:r w:rsidR="00EF054D" w:rsidRPr="00716193">
        <w:rPr>
          <w:b/>
          <w:bCs/>
          <w:lang w:val="en-US"/>
        </w:rPr>
        <w:t>0600200115</w:t>
      </w:r>
    </w:p>
    <w:p w:rsidR="000367EC" w:rsidRPr="00716193" w:rsidRDefault="000367EC" w:rsidP="000F4E36">
      <w:pPr>
        <w:jc w:val="center"/>
        <w:rPr>
          <w:b/>
          <w:bCs/>
        </w:rPr>
      </w:pPr>
    </w:p>
    <w:tbl>
      <w:tblPr>
        <w:tblW w:w="0" w:type="auto"/>
        <w:tblLayout w:type="fixed"/>
        <w:tblLook w:val="01E0" w:firstRow="1" w:lastRow="1" w:firstColumn="1" w:lastColumn="1" w:noHBand="0" w:noVBand="0"/>
      </w:tblPr>
      <w:tblGrid>
        <w:gridCol w:w="675"/>
        <w:gridCol w:w="8"/>
        <w:gridCol w:w="8214"/>
        <w:gridCol w:w="709"/>
      </w:tblGrid>
      <w:tr w:rsidR="00FB3DDD" w:rsidRPr="00716193" w:rsidTr="00716193">
        <w:tc>
          <w:tcPr>
            <w:tcW w:w="683" w:type="dxa"/>
            <w:gridSpan w:val="2"/>
          </w:tcPr>
          <w:p w:rsidR="00FB3DDD" w:rsidRPr="009909AE" w:rsidRDefault="00FB3DDD" w:rsidP="00716193">
            <w:pPr>
              <w:ind w:right="-102"/>
              <w:jc w:val="center"/>
              <w:rPr>
                <w:b/>
              </w:rPr>
            </w:pPr>
            <w:r w:rsidRPr="009909AE">
              <w:rPr>
                <w:b/>
                <w:bCs/>
              </w:rPr>
              <w:t>№</w:t>
            </w:r>
          </w:p>
        </w:tc>
        <w:tc>
          <w:tcPr>
            <w:tcW w:w="8214" w:type="dxa"/>
          </w:tcPr>
          <w:p w:rsidR="00FB3DDD" w:rsidRPr="00716193" w:rsidRDefault="00FB3DDD" w:rsidP="00716193">
            <w:pPr>
              <w:tabs>
                <w:tab w:val="left" w:pos="5728"/>
              </w:tabs>
              <w:ind w:left="-114" w:right="-80"/>
              <w:jc w:val="center"/>
              <w:rPr>
                <w:b/>
              </w:rPr>
            </w:pPr>
            <w:r w:rsidRPr="00716193">
              <w:rPr>
                <w:b/>
                <w:bCs/>
              </w:rPr>
              <w:t>Одитни доказателства</w:t>
            </w:r>
          </w:p>
        </w:tc>
        <w:tc>
          <w:tcPr>
            <w:tcW w:w="709" w:type="dxa"/>
          </w:tcPr>
          <w:p w:rsidR="00FB3DDD" w:rsidRPr="00716193" w:rsidRDefault="00FB3DDD" w:rsidP="00716193">
            <w:pPr>
              <w:ind w:left="-82"/>
              <w:jc w:val="center"/>
              <w:rPr>
                <w:b/>
              </w:rPr>
            </w:pPr>
            <w:r w:rsidRPr="00716193">
              <w:rPr>
                <w:b/>
                <w:bCs/>
              </w:rPr>
              <w:t>Бр</w:t>
            </w:r>
            <w:r w:rsidR="00716193" w:rsidRPr="00716193">
              <w:rPr>
                <w:b/>
                <w:bCs/>
              </w:rPr>
              <w:t>ой</w:t>
            </w:r>
            <w:r w:rsidRPr="00716193">
              <w:rPr>
                <w:b/>
                <w:bCs/>
                <w:lang w:val="en-US"/>
              </w:rPr>
              <w:t xml:space="preserve"> </w:t>
            </w:r>
            <w:r w:rsidRPr="00716193">
              <w:rPr>
                <w:b/>
                <w:bCs/>
              </w:rPr>
              <w:t>страници</w:t>
            </w:r>
          </w:p>
        </w:tc>
      </w:tr>
      <w:tr w:rsidR="00FB3DDD" w:rsidRPr="00716193" w:rsidTr="00716193">
        <w:tc>
          <w:tcPr>
            <w:tcW w:w="683" w:type="dxa"/>
            <w:gridSpan w:val="2"/>
          </w:tcPr>
          <w:p w:rsidR="00FB3DDD" w:rsidRPr="009909AE" w:rsidRDefault="00432585" w:rsidP="00716193">
            <w:pPr>
              <w:ind w:right="-102"/>
              <w:jc w:val="center"/>
              <w:rPr>
                <w:bCs/>
              </w:rPr>
            </w:pPr>
            <w:r w:rsidRPr="009909AE">
              <w:rPr>
                <w:bCs/>
              </w:rPr>
              <w:t>1</w:t>
            </w:r>
          </w:p>
        </w:tc>
        <w:tc>
          <w:tcPr>
            <w:tcW w:w="8214" w:type="dxa"/>
          </w:tcPr>
          <w:p w:rsidR="00FB3DDD" w:rsidRPr="00716193" w:rsidRDefault="00432585" w:rsidP="00716193">
            <w:pPr>
              <w:pStyle w:val="FootnoteText"/>
              <w:tabs>
                <w:tab w:val="left" w:pos="5728"/>
              </w:tabs>
              <w:ind w:left="-114" w:right="-80"/>
              <w:jc w:val="both"/>
              <w:rPr>
                <w:sz w:val="24"/>
                <w:szCs w:val="24"/>
              </w:rPr>
            </w:pPr>
            <w:r w:rsidRPr="00716193">
              <w:rPr>
                <w:sz w:val="24"/>
                <w:szCs w:val="24"/>
              </w:rPr>
              <w:t xml:space="preserve">РД-П-1.2 </w:t>
            </w:r>
            <w:r w:rsidRPr="00716193">
              <w:rPr>
                <w:sz w:val="24"/>
                <w:szCs w:val="24"/>
                <w:lang w:val="en-US"/>
              </w:rPr>
              <w:t>(</w:t>
            </w:r>
            <w:r w:rsidRPr="00716193">
              <w:rPr>
                <w:sz w:val="24"/>
                <w:szCs w:val="24"/>
              </w:rPr>
              <w:t>3</w:t>
            </w:r>
            <w:r w:rsidRPr="00716193">
              <w:rPr>
                <w:sz w:val="24"/>
                <w:szCs w:val="24"/>
                <w:lang w:val="en-US"/>
              </w:rPr>
              <w:t>)</w:t>
            </w:r>
            <w:r w:rsidRPr="00716193">
              <w:rPr>
                <w:sz w:val="24"/>
                <w:szCs w:val="24"/>
              </w:rPr>
              <w:t>/27.01.2015 г. - Писмо до министъра на младежта и спорта с въпроси, изх. на СП № 04-18-1/28.01.2015 г., и Писмо, вх. на СП № 04-18-1/12.02.2015 г., с предоставена на одитния екип информация от</w:t>
            </w:r>
            <w:r w:rsidR="009230D9" w:rsidRPr="00716193">
              <w:rPr>
                <w:sz w:val="24"/>
                <w:szCs w:val="24"/>
              </w:rPr>
              <w:t xml:space="preserve"> министъра на младежта и спорта</w:t>
            </w:r>
          </w:p>
        </w:tc>
        <w:tc>
          <w:tcPr>
            <w:tcW w:w="709" w:type="dxa"/>
          </w:tcPr>
          <w:p w:rsidR="00FB3DDD" w:rsidRPr="00716193" w:rsidRDefault="00432585" w:rsidP="00716193">
            <w:pPr>
              <w:ind w:left="-82"/>
              <w:jc w:val="center"/>
            </w:pPr>
            <w:r w:rsidRPr="00716193">
              <w:t>5</w:t>
            </w:r>
          </w:p>
        </w:tc>
      </w:tr>
      <w:tr w:rsidR="00FB3DDD" w:rsidRPr="00716193" w:rsidTr="00716193">
        <w:tc>
          <w:tcPr>
            <w:tcW w:w="683" w:type="dxa"/>
            <w:gridSpan w:val="2"/>
          </w:tcPr>
          <w:p w:rsidR="00FB3DDD" w:rsidRPr="009909AE" w:rsidRDefault="00D467A4" w:rsidP="00716193">
            <w:pPr>
              <w:ind w:right="-102"/>
              <w:jc w:val="center"/>
              <w:rPr>
                <w:bCs/>
              </w:rPr>
            </w:pPr>
            <w:r w:rsidRPr="009909AE">
              <w:rPr>
                <w:bCs/>
              </w:rPr>
              <w:t>2</w:t>
            </w:r>
          </w:p>
        </w:tc>
        <w:tc>
          <w:tcPr>
            <w:tcW w:w="8214" w:type="dxa"/>
          </w:tcPr>
          <w:p w:rsidR="00FB3DDD" w:rsidRPr="00716193" w:rsidRDefault="00D467A4" w:rsidP="00716193">
            <w:pPr>
              <w:tabs>
                <w:tab w:val="left" w:pos="5728"/>
              </w:tabs>
              <w:ind w:left="-114" w:right="-80"/>
              <w:jc w:val="both"/>
            </w:pPr>
            <w:r w:rsidRPr="00716193">
              <w:t xml:space="preserve">РД-П-2.33 </w:t>
            </w:r>
            <w:r w:rsidRPr="00716193">
              <w:rPr>
                <w:lang w:val="en-US"/>
              </w:rPr>
              <w:t>(</w:t>
            </w:r>
            <w:r w:rsidRPr="00716193">
              <w:t>4</w:t>
            </w:r>
            <w:r w:rsidRPr="00716193">
              <w:rPr>
                <w:lang w:val="en-US"/>
              </w:rPr>
              <w:t>)</w:t>
            </w:r>
            <w:r w:rsidRPr="00716193">
              <w:t xml:space="preserve">/ 23.02.2015 г. </w:t>
            </w:r>
            <w:r w:rsidRPr="00716193">
              <w:rPr>
                <w:lang w:val="en-US"/>
              </w:rPr>
              <w:t xml:space="preserve">– </w:t>
            </w:r>
            <w:r w:rsidRPr="00716193">
              <w:t>Констативен протокол</w:t>
            </w:r>
          </w:p>
        </w:tc>
        <w:tc>
          <w:tcPr>
            <w:tcW w:w="709" w:type="dxa"/>
          </w:tcPr>
          <w:p w:rsidR="00FB3DDD" w:rsidRPr="00716193" w:rsidRDefault="00D467A4" w:rsidP="00716193">
            <w:pPr>
              <w:ind w:left="-82"/>
              <w:jc w:val="center"/>
            </w:pPr>
            <w:r w:rsidRPr="00716193">
              <w:t>4</w:t>
            </w:r>
          </w:p>
        </w:tc>
      </w:tr>
      <w:tr w:rsidR="00FB3DDD" w:rsidRPr="00716193" w:rsidTr="00716193">
        <w:tc>
          <w:tcPr>
            <w:tcW w:w="683" w:type="dxa"/>
            <w:gridSpan w:val="2"/>
          </w:tcPr>
          <w:p w:rsidR="00FB3DDD" w:rsidRPr="009909AE" w:rsidRDefault="007F4631" w:rsidP="00716193">
            <w:pPr>
              <w:ind w:right="-102"/>
              <w:jc w:val="center"/>
              <w:rPr>
                <w:bCs/>
              </w:rPr>
            </w:pPr>
            <w:r w:rsidRPr="009909AE">
              <w:rPr>
                <w:bCs/>
              </w:rPr>
              <w:t>3</w:t>
            </w:r>
          </w:p>
        </w:tc>
        <w:tc>
          <w:tcPr>
            <w:tcW w:w="8214" w:type="dxa"/>
          </w:tcPr>
          <w:p w:rsidR="007F4631" w:rsidRPr="00716193" w:rsidRDefault="007F4631" w:rsidP="00716193">
            <w:pPr>
              <w:tabs>
                <w:tab w:val="left" w:pos="5728"/>
              </w:tabs>
              <w:ind w:left="-114" w:right="-80"/>
              <w:jc w:val="both"/>
            </w:pPr>
            <w:r w:rsidRPr="00716193">
              <w:t xml:space="preserve">„Вътрешни правила за дейностите, свързани с управлението на търговските дружества и други дружества с държавно участие от системата на Министерство на физическото възпитание и спорта“, утвърдени от министъра на МФВС, в сила от 01.11.2009 г.; </w:t>
            </w:r>
          </w:p>
          <w:p w:rsidR="00FB3DDD" w:rsidRPr="00716193" w:rsidRDefault="007F4631" w:rsidP="00716193">
            <w:pPr>
              <w:tabs>
                <w:tab w:val="left" w:pos="5728"/>
              </w:tabs>
              <w:ind w:left="-114" w:right="-80"/>
              <w:jc w:val="both"/>
            </w:pPr>
            <w:r w:rsidRPr="00716193">
              <w:t xml:space="preserve">„Вътрешни правила за дейностите, свързани с управлението на търговските дружества със сто на сто държавно участие в капитала от системата на Министерство на младежта и спорта“, утвърдени от министъра </w:t>
            </w:r>
            <w:r w:rsidR="009230D9" w:rsidRPr="00716193">
              <w:t>на ММС, в сила от 17.12.2013 г.</w:t>
            </w:r>
          </w:p>
        </w:tc>
        <w:tc>
          <w:tcPr>
            <w:tcW w:w="709" w:type="dxa"/>
          </w:tcPr>
          <w:p w:rsidR="00FB3DDD" w:rsidRPr="00716193" w:rsidRDefault="007F4631" w:rsidP="00716193">
            <w:pPr>
              <w:ind w:left="-82"/>
              <w:jc w:val="center"/>
            </w:pPr>
            <w:r w:rsidRPr="00716193">
              <w:t>15</w:t>
            </w:r>
          </w:p>
        </w:tc>
      </w:tr>
      <w:tr w:rsidR="00FF2576" w:rsidRPr="00716193" w:rsidTr="00716193">
        <w:tc>
          <w:tcPr>
            <w:tcW w:w="683" w:type="dxa"/>
            <w:gridSpan w:val="2"/>
          </w:tcPr>
          <w:p w:rsidR="00FF2576" w:rsidRPr="009909AE" w:rsidRDefault="00FF2576" w:rsidP="00716193">
            <w:pPr>
              <w:ind w:right="-102"/>
              <w:jc w:val="center"/>
              <w:rPr>
                <w:bCs/>
              </w:rPr>
            </w:pPr>
            <w:r w:rsidRPr="009909AE">
              <w:rPr>
                <w:bCs/>
              </w:rPr>
              <w:t>4</w:t>
            </w:r>
          </w:p>
        </w:tc>
        <w:tc>
          <w:tcPr>
            <w:tcW w:w="8214" w:type="dxa"/>
          </w:tcPr>
          <w:p w:rsidR="00FF2576" w:rsidRPr="00716193" w:rsidRDefault="00FF2576" w:rsidP="00716193">
            <w:pPr>
              <w:tabs>
                <w:tab w:val="left" w:pos="5728"/>
              </w:tabs>
              <w:ind w:left="-114" w:right="-80"/>
              <w:jc w:val="both"/>
            </w:pPr>
            <w:r w:rsidRPr="00716193">
              <w:t>Докладна записка от Маргрет Атанасова – директор на дирекция „Инвестиционна политика и управление на собствеността“ към ММС, вх. на ММС</w:t>
            </w:r>
            <w:r w:rsidR="009230D9" w:rsidRPr="00716193">
              <w:t xml:space="preserve"> № 11-00-216/2 от 28.06.2013 г.</w:t>
            </w:r>
          </w:p>
        </w:tc>
        <w:tc>
          <w:tcPr>
            <w:tcW w:w="709" w:type="dxa"/>
          </w:tcPr>
          <w:p w:rsidR="00FF2576" w:rsidRPr="00716193" w:rsidRDefault="00FF2576" w:rsidP="00716193">
            <w:pPr>
              <w:ind w:left="-82"/>
              <w:jc w:val="center"/>
            </w:pPr>
            <w:r w:rsidRPr="00716193">
              <w:t>5</w:t>
            </w:r>
          </w:p>
        </w:tc>
      </w:tr>
      <w:tr w:rsidR="00FF2576" w:rsidRPr="00716193" w:rsidTr="00716193">
        <w:tc>
          <w:tcPr>
            <w:tcW w:w="683" w:type="dxa"/>
            <w:gridSpan w:val="2"/>
          </w:tcPr>
          <w:p w:rsidR="00FF2576" w:rsidRPr="009909AE" w:rsidRDefault="00C95B26" w:rsidP="00716193">
            <w:pPr>
              <w:ind w:right="-102"/>
              <w:jc w:val="center"/>
              <w:rPr>
                <w:bCs/>
              </w:rPr>
            </w:pPr>
            <w:r w:rsidRPr="009909AE">
              <w:rPr>
                <w:bCs/>
              </w:rPr>
              <w:t>5</w:t>
            </w:r>
          </w:p>
        </w:tc>
        <w:tc>
          <w:tcPr>
            <w:tcW w:w="8214" w:type="dxa"/>
          </w:tcPr>
          <w:p w:rsidR="00FF2576" w:rsidRPr="00716193" w:rsidRDefault="00C95B26" w:rsidP="00716193">
            <w:pPr>
              <w:tabs>
                <w:tab w:val="left" w:pos="5728"/>
              </w:tabs>
              <w:ind w:left="-114" w:right="-80"/>
              <w:jc w:val="both"/>
            </w:pPr>
            <w:r w:rsidRPr="00716193">
              <w:t>Доклад от Емилия Фачева – директор на дирекция „Спортна инфраструктура и управление на държавното участие“ към ММС, вх. на ММС № 22-00-812 от 30.08.2013 г.</w:t>
            </w:r>
          </w:p>
        </w:tc>
        <w:tc>
          <w:tcPr>
            <w:tcW w:w="709" w:type="dxa"/>
          </w:tcPr>
          <w:p w:rsidR="00FF2576" w:rsidRPr="00716193" w:rsidRDefault="00C95B26" w:rsidP="00716193">
            <w:pPr>
              <w:ind w:left="-82"/>
              <w:jc w:val="center"/>
            </w:pPr>
            <w:r w:rsidRPr="00716193">
              <w:t>7</w:t>
            </w:r>
          </w:p>
        </w:tc>
      </w:tr>
      <w:tr w:rsidR="00FF2576" w:rsidRPr="00716193" w:rsidTr="00716193">
        <w:tc>
          <w:tcPr>
            <w:tcW w:w="683" w:type="dxa"/>
            <w:gridSpan w:val="2"/>
          </w:tcPr>
          <w:p w:rsidR="00FF2576" w:rsidRPr="009909AE" w:rsidRDefault="009230D9" w:rsidP="00716193">
            <w:pPr>
              <w:ind w:right="-102"/>
              <w:jc w:val="center"/>
              <w:rPr>
                <w:bCs/>
              </w:rPr>
            </w:pPr>
            <w:r w:rsidRPr="009909AE">
              <w:rPr>
                <w:bCs/>
              </w:rPr>
              <w:t>6</w:t>
            </w:r>
          </w:p>
        </w:tc>
        <w:tc>
          <w:tcPr>
            <w:tcW w:w="8214" w:type="dxa"/>
          </w:tcPr>
          <w:p w:rsidR="00FF2576" w:rsidRPr="00716193" w:rsidRDefault="009230D9" w:rsidP="00716193">
            <w:pPr>
              <w:tabs>
                <w:tab w:val="left" w:pos="5728"/>
              </w:tabs>
              <w:ind w:left="-114" w:right="-80"/>
              <w:jc w:val="both"/>
            </w:pPr>
            <w:r w:rsidRPr="00716193">
              <w:t>РД-И-1.2(2)/21.05.2015 г. – Писмо до министъра на ММС с въпроси, изх. на СП № 04-18-1/21.05.2015 г., и Писма, изх. на ММС № 34-00-10/1/02.06.2015 г. и № 34-00-10/2/11.06.2015 г., с предоставена на одитния екип информация</w:t>
            </w:r>
          </w:p>
        </w:tc>
        <w:tc>
          <w:tcPr>
            <w:tcW w:w="709" w:type="dxa"/>
          </w:tcPr>
          <w:p w:rsidR="00FF2576" w:rsidRPr="00716193" w:rsidRDefault="009230D9" w:rsidP="00716193">
            <w:pPr>
              <w:ind w:left="-82"/>
              <w:jc w:val="center"/>
            </w:pPr>
            <w:r w:rsidRPr="00716193">
              <w:t>26</w:t>
            </w:r>
          </w:p>
        </w:tc>
      </w:tr>
      <w:tr w:rsidR="00FF2576" w:rsidRPr="00716193" w:rsidTr="00716193">
        <w:tc>
          <w:tcPr>
            <w:tcW w:w="683" w:type="dxa"/>
            <w:gridSpan w:val="2"/>
          </w:tcPr>
          <w:p w:rsidR="00FF2576" w:rsidRPr="009909AE" w:rsidRDefault="00821608" w:rsidP="00716193">
            <w:pPr>
              <w:ind w:right="-102"/>
              <w:jc w:val="center"/>
              <w:rPr>
                <w:bCs/>
              </w:rPr>
            </w:pPr>
            <w:r w:rsidRPr="009909AE">
              <w:rPr>
                <w:bCs/>
              </w:rPr>
              <w:t>7</w:t>
            </w:r>
          </w:p>
        </w:tc>
        <w:tc>
          <w:tcPr>
            <w:tcW w:w="8214" w:type="dxa"/>
          </w:tcPr>
          <w:p w:rsidR="00FF2576" w:rsidRPr="00716193" w:rsidRDefault="00821608" w:rsidP="00716193">
            <w:pPr>
              <w:tabs>
                <w:tab w:val="left" w:pos="5728"/>
              </w:tabs>
              <w:ind w:left="-114" w:right="-80"/>
              <w:jc w:val="both"/>
            </w:pPr>
            <w:r w:rsidRPr="00716193">
              <w:t>Разпореждане № 13 на Министерски съвет от 29 март 1993 г.</w:t>
            </w:r>
          </w:p>
        </w:tc>
        <w:tc>
          <w:tcPr>
            <w:tcW w:w="709" w:type="dxa"/>
          </w:tcPr>
          <w:p w:rsidR="00FF2576" w:rsidRPr="00716193" w:rsidRDefault="00821608" w:rsidP="00716193">
            <w:pPr>
              <w:ind w:left="-82"/>
              <w:jc w:val="center"/>
            </w:pPr>
            <w:r w:rsidRPr="00716193">
              <w:t>1</w:t>
            </w:r>
          </w:p>
        </w:tc>
      </w:tr>
      <w:tr w:rsidR="00821608" w:rsidRPr="00716193" w:rsidTr="00716193">
        <w:tc>
          <w:tcPr>
            <w:tcW w:w="683" w:type="dxa"/>
            <w:gridSpan w:val="2"/>
          </w:tcPr>
          <w:p w:rsidR="00821608" w:rsidRPr="009909AE" w:rsidRDefault="00D13C9B" w:rsidP="00716193">
            <w:pPr>
              <w:ind w:right="-102"/>
              <w:jc w:val="center"/>
              <w:rPr>
                <w:bCs/>
              </w:rPr>
            </w:pPr>
            <w:r w:rsidRPr="009909AE">
              <w:rPr>
                <w:bCs/>
              </w:rPr>
              <w:t>8</w:t>
            </w:r>
          </w:p>
        </w:tc>
        <w:tc>
          <w:tcPr>
            <w:tcW w:w="8214" w:type="dxa"/>
          </w:tcPr>
          <w:p w:rsidR="00821608" w:rsidRPr="00716193" w:rsidRDefault="00D13C9B" w:rsidP="00716193">
            <w:pPr>
              <w:tabs>
                <w:tab w:val="left" w:pos="5728"/>
              </w:tabs>
              <w:ind w:left="-114" w:right="-80"/>
              <w:jc w:val="both"/>
            </w:pPr>
            <w:r w:rsidRPr="00716193">
              <w:t>Решение на Министерски съвет № 314 от 19.05.2014 г.</w:t>
            </w:r>
          </w:p>
        </w:tc>
        <w:tc>
          <w:tcPr>
            <w:tcW w:w="709" w:type="dxa"/>
          </w:tcPr>
          <w:p w:rsidR="00821608" w:rsidRPr="00716193" w:rsidRDefault="00D13C9B" w:rsidP="00716193">
            <w:pPr>
              <w:ind w:left="-82"/>
              <w:jc w:val="center"/>
            </w:pPr>
            <w:r w:rsidRPr="00716193">
              <w:t>2</w:t>
            </w:r>
          </w:p>
        </w:tc>
      </w:tr>
      <w:tr w:rsidR="00821608" w:rsidRPr="00716193" w:rsidTr="00716193">
        <w:tc>
          <w:tcPr>
            <w:tcW w:w="683" w:type="dxa"/>
            <w:gridSpan w:val="2"/>
          </w:tcPr>
          <w:p w:rsidR="00821608" w:rsidRPr="009909AE" w:rsidRDefault="00F74DCB" w:rsidP="00716193">
            <w:pPr>
              <w:ind w:right="-102"/>
              <w:jc w:val="center"/>
              <w:rPr>
                <w:bCs/>
              </w:rPr>
            </w:pPr>
            <w:r w:rsidRPr="009909AE">
              <w:rPr>
                <w:bCs/>
              </w:rPr>
              <w:t>9</w:t>
            </w:r>
          </w:p>
        </w:tc>
        <w:tc>
          <w:tcPr>
            <w:tcW w:w="8214" w:type="dxa"/>
          </w:tcPr>
          <w:p w:rsidR="00821608" w:rsidRPr="00716193" w:rsidRDefault="00F74DCB" w:rsidP="00716193">
            <w:pPr>
              <w:tabs>
                <w:tab w:val="left" w:pos="5728"/>
              </w:tabs>
              <w:ind w:left="-114" w:right="-80"/>
              <w:jc w:val="both"/>
            </w:pPr>
            <w:r w:rsidRPr="00716193">
              <w:t xml:space="preserve">Устав на </w:t>
            </w:r>
            <w:r w:rsidR="004A0135" w:rsidRPr="00716193">
              <w:t>„</w:t>
            </w:r>
            <w:r w:rsidRPr="00716193">
              <w:t>НСБ</w:t>
            </w:r>
            <w:r w:rsidR="004A0135" w:rsidRPr="00716193">
              <w:t>“</w:t>
            </w:r>
            <w:r w:rsidRPr="00716193">
              <w:t xml:space="preserve"> ЕАД, ред. Протокол № 28-00-7 от 12.04.2010 г. на министъра на физическото възпитание и спорта</w:t>
            </w:r>
          </w:p>
        </w:tc>
        <w:tc>
          <w:tcPr>
            <w:tcW w:w="709" w:type="dxa"/>
          </w:tcPr>
          <w:p w:rsidR="00821608" w:rsidRPr="00716193" w:rsidRDefault="00F74DCB" w:rsidP="00716193">
            <w:pPr>
              <w:ind w:left="-82"/>
              <w:jc w:val="center"/>
            </w:pPr>
            <w:r w:rsidRPr="00716193">
              <w:t>10</w:t>
            </w:r>
          </w:p>
        </w:tc>
      </w:tr>
      <w:tr w:rsidR="00821608" w:rsidRPr="00716193" w:rsidTr="00716193">
        <w:tc>
          <w:tcPr>
            <w:tcW w:w="683" w:type="dxa"/>
            <w:gridSpan w:val="2"/>
          </w:tcPr>
          <w:p w:rsidR="00821608" w:rsidRPr="009909AE" w:rsidRDefault="009321A2" w:rsidP="00716193">
            <w:pPr>
              <w:ind w:right="-102"/>
              <w:jc w:val="center"/>
              <w:rPr>
                <w:bCs/>
              </w:rPr>
            </w:pPr>
            <w:r w:rsidRPr="009909AE">
              <w:rPr>
                <w:bCs/>
              </w:rPr>
              <w:t>10</w:t>
            </w:r>
          </w:p>
        </w:tc>
        <w:tc>
          <w:tcPr>
            <w:tcW w:w="8214" w:type="dxa"/>
          </w:tcPr>
          <w:p w:rsidR="00821608" w:rsidRPr="00716193" w:rsidRDefault="009321A2" w:rsidP="00716193">
            <w:pPr>
              <w:tabs>
                <w:tab w:val="left" w:pos="5728"/>
              </w:tabs>
              <w:ind w:left="-114" w:right="-80"/>
              <w:jc w:val="both"/>
            </w:pPr>
            <w:r w:rsidRPr="00716193">
              <w:rPr>
                <w:rFonts w:eastAsia="Calibri"/>
                <w:lang w:eastAsia="en-US"/>
              </w:rPr>
              <w:t>Протокол № 28-00-6 от 08.07.2014 г. на министъра на младежта и спорта за намаляване капитала на дружеството</w:t>
            </w:r>
          </w:p>
        </w:tc>
        <w:tc>
          <w:tcPr>
            <w:tcW w:w="709" w:type="dxa"/>
          </w:tcPr>
          <w:p w:rsidR="00821608" w:rsidRPr="00716193" w:rsidRDefault="009321A2" w:rsidP="00716193">
            <w:pPr>
              <w:ind w:left="-82"/>
              <w:jc w:val="center"/>
            </w:pPr>
            <w:r w:rsidRPr="00716193">
              <w:t>2</w:t>
            </w:r>
          </w:p>
        </w:tc>
      </w:tr>
      <w:tr w:rsidR="00821608" w:rsidRPr="00716193" w:rsidTr="00716193">
        <w:tc>
          <w:tcPr>
            <w:tcW w:w="683" w:type="dxa"/>
            <w:gridSpan w:val="2"/>
          </w:tcPr>
          <w:p w:rsidR="00821608" w:rsidRPr="009909AE" w:rsidRDefault="003E271D" w:rsidP="00716193">
            <w:pPr>
              <w:ind w:right="-102"/>
              <w:jc w:val="center"/>
              <w:rPr>
                <w:bCs/>
              </w:rPr>
            </w:pPr>
            <w:r w:rsidRPr="009909AE">
              <w:rPr>
                <w:bCs/>
              </w:rPr>
              <w:t>11</w:t>
            </w:r>
          </w:p>
        </w:tc>
        <w:tc>
          <w:tcPr>
            <w:tcW w:w="8214" w:type="dxa"/>
          </w:tcPr>
          <w:p w:rsidR="00821608" w:rsidRPr="00716193" w:rsidRDefault="003E271D" w:rsidP="00716193">
            <w:pPr>
              <w:tabs>
                <w:tab w:val="left" w:pos="5728"/>
              </w:tabs>
              <w:ind w:left="-114" w:right="-80"/>
              <w:jc w:val="both"/>
            </w:pPr>
            <w:r w:rsidRPr="00716193">
              <w:rPr>
                <w:rFonts w:eastAsia="Calibri"/>
                <w:lang w:eastAsia="en-US"/>
              </w:rPr>
              <w:t xml:space="preserve">Устав на </w:t>
            </w:r>
            <w:r w:rsidR="004A0135" w:rsidRPr="00716193">
              <w:rPr>
                <w:rFonts w:eastAsia="Calibri"/>
                <w:lang w:eastAsia="en-US"/>
              </w:rPr>
              <w:t>„</w:t>
            </w:r>
            <w:r w:rsidRPr="00716193">
              <w:rPr>
                <w:rFonts w:eastAsia="Calibri"/>
                <w:lang w:eastAsia="en-US"/>
              </w:rPr>
              <w:t>НСБ</w:t>
            </w:r>
            <w:r w:rsidR="004A0135" w:rsidRPr="00716193">
              <w:rPr>
                <w:rFonts w:eastAsia="Calibri"/>
                <w:lang w:eastAsia="en-US"/>
              </w:rPr>
              <w:t>“</w:t>
            </w:r>
            <w:r w:rsidRPr="00716193">
              <w:rPr>
                <w:rFonts w:eastAsia="Calibri"/>
                <w:lang w:eastAsia="en-US"/>
              </w:rPr>
              <w:t xml:space="preserve"> ЕАД, изм. и доп. с Протокол № 28-00-6 от 08.07.2014 г. на министъра на младежта и спорта</w:t>
            </w:r>
          </w:p>
        </w:tc>
        <w:tc>
          <w:tcPr>
            <w:tcW w:w="709" w:type="dxa"/>
          </w:tcPr>
          <w:p w:rsidR="00821608" w:rsidRPr="00716193" w:rsidRDefault="003E271D" w:rsidP="00716193">
            <w:pPr>
              <w:ind w:left="-82"/>
              <w:jc w:val="center"/>
            </w:pPr>
            <w:r w:rsidRPr="00716193">
              <w:t>10</w:t>
            </w:r>
          </w:p>
        </w:tc>
      </w:tr>
      <w:tr w:rsidR="00821608" w:rsidRPr="00716193" w:rsidTr="00716193">
        <w:tc>
          <w:tcPr>
            <w:tcW w:w="683" w:type="dxa"/>
            <w:gridSpan w:val="2"/>
          </w:tcPr>
          <w:p w:rsidR="00821608" w:rsidRPr="009909AE" w:rsidRDefault="00DD40A3" w:rsidP="00716193">
            <w:pPr>
              <w:ind w:right="-102"/>
              <w:jc w:val="center"/>
              <w:rPr>
                <w:bCs/>
              </w:rPr>
            </w:pPr>
            <w:r w:rsidRPr="009909AE">
              <w:rPr>
                <w:bCs/>
              </w:rPr>
              <w:t>12</w:t>
            </w:r>
          </w:p>
        </w:tc>
        <w:tc>
          <w:tcPr>
            <w:tcW w:w="8214" w:type="dxa"/>
          </w:tcPr>
          <w:p w:rsidR="00821608" w:rsidRPr="00716193" w:rsidRDefault="00DD40A3" w:rsidP="00716193">
            <w:pPr>
              <w:tabs>
                <w:tab w:val="left" w:pos="5728"/>
              </w:tabs>
              <w:ind w:left="-114" w:right="-80"/>
              <w:jc w:val="both"/>
            </w:pPr>
            <w:r w:rsidRPr="00716193">
              <w:t>РД-И-1.34</w:t>
            </w:r>
            <w:r w:rsidRPr="00716193">
              <w:rPr>
                <w:lang w:val="en-US"/>
              </w:rPr>
              <w:t>-1(1)</w:t>
            </w:r>
            <w:r w:rsidRPr="00716193">
              <w:t>/12.06.2015 г. – Констативен протокол</w:t>
            </w:r>
          </w:p>
        </w:tc>
        <w:tc>
          <w:tcPr>
            <w:tcW w:w="709" w:type="dxa"/>
          </w:tcPr>
          <w:p w:rsidR="00821608" w:rsidRPr="00716193" w:rsidRDefault="00DD40A3" w:rsidP="00716193">
            <w:pPr>
              <w:ind w:left="-82"/>
              <w:jc w:val="center"/>
            </w:pPr>
            <w:r w:rsidRPr="00716193">
              <w:t>1</w:t>
            </w:r>
          </w:p>
        </w:tc>
      </w:tr>
      <w:tr w:rsidR="00821608" w:rsidRPr="00716193" w:rsidTr="00716193">
        <w:tc>
          <w:tcPr>
            <w:tcW w:w="683" w:type="dxa"/>
            <w:gridSpan w:val="2"/>
          </w:tcPr>
          <w:p w:rsidR="00821608" w:rsidRPr="009909AE" w:rsidRDefault="004C23EE" w:rsidP="00716193">
            <w:pPr>
              <w:ind w:right="-102"/>
              <w:jc w:val="center"/>
              <w:rPr>
                <w:bCs/>
              </w:rPr>
            </w:pPr>
            <w:r w:rsidRPr="009909AE">
              <w:rPr>
                <w:bCs/>
              </w:rPr>
              <w:t>13</w:t>
            </w:r>
          </w:p>
        </w:tc>
        <w:tc>
          <w:tcPr>
            <w:tcW w:w="8214" w:type="dxa"/>
          </w:tcPr>
          <w:p w:rsidR="00821608" w:rsidRPr="00716193" w:rsidRDefault="0006508E" w:rsidP="00716193">
            <w:pPr>
              <w:tabs>
                <w:tab w:val="left" w:pos="5728"/>
              </w:tabs>
              <w:ind w:left="-114" w:right="-80"/>
              <w:jc w:val="both"/>
            </w:pPr>
            <w:r w:rsidRPr="00716193">
              <w:t>РД-И-1</w:t>
            </w:r>
            <w:r w:rsidRPr="00716193">
              <w:rPr>
                <w:lang w:val="en-US"/>
              </w:rPr>
              <w:t>.</w:t>
            </w:r>
            <w:r w:rsidRPr="00716193">
              <w:t>2</w:t>
            </w:r>
            <w:r w:rsidRPr="00716193">
              <w:rPr>
                <w:lang w:val="en-US"/>
              </w:rPr>
              <w:t>(6)</w:t>
            </w:r>
            <w:r w:rsidRPr="00716193">
              <w:t xml:space="preserve">/09.06.2015 г. – Писмо, вх. на </w:t>
            </w:r>
            <w:r w:rsidR="004A0135" w:rsidRPr="00716193">
              <w:t>„</w:t>
            </w:r>
            <w:r w:rsidRPr="00716193">
              <w:t>НСБ</w:t>
            </w:r>
            <w:r w:rsidR="004A0135" w:rsidRPr="00716193">
              <w:t>“</w:t>
            </w:r>
            <w:r w:rsidRPr="00716193">
              <w:t xml:space="preserve"> ЕАД № 15-000057-1/09.06.2015 г., до изпълнителния директор за изискване на информация и Писмо от ръководител „ФСО“ до изпълнителния директор на </w:t>
            </w:r>
            <w:r w:rsidR="004A0135" w:rsidRPr="00716193">
              <w:t>„</w:t>
            </w:r>
            <w:r w:rsidRPr="00716193">
              <w:t>НСБ</w:t>
            </w:r>
            <w:r w:rsidR="004A0135" w:rsidRPr="00716193">
              <w:t>“</w:t>
            </w:r>
            <w:r w:rsidRPr="00716193">
              <w:t xml:space="preserve"> ЕАД, вх. № 15-57-1/25.06.2015 г.</w:t>
            </w:r>
          </w:p>
        </w:tc>
        <w:tc>
          <w:tcPr>
            <w:tcW w:w="709" w:type="dxa"/>
          </w:tcPr>
          <w:p w:rsidR="00821608" w:rsidRPr="00716193" w:rsidRDefault="004C23EE" w:rsidP="00716193">
            <w:pPr>
              <w:ind w:left="-82"/>
              <w:jc w:val="center"/>
            </w:pPr>
            <w:r w:rsidRPr="00716193">
              <w:t>4</w:t>
            </w:r>
          </w:p>
        </w:tc>
      </w:tr>
      <w:tr w:rsidR="00821608" w:rsidRPr="00716193" w:rsidTr="00716193">
        <w:tc>
          <w:tcPr>
            <w:tcW w:w="683" w:type="dxa"/>
            <w:gridSpan w:val="2"/>
          </w:tcPr>
          <w:p w:rsidR="00821608" w:rsidRPr="009909AE" w:rsidRDefault="00063F2C" w:rsidP="00716193">
            <w:pPr>
              <w:ind w:right="-102"/>
              <w:jc w:val="center"/>
              <w:rPr>
                <w:bCs/>
              </w:rPr>
            </w:pPr>
            <w:r w:rsidRPr="009909AE">
              <w:rPr>
                <w:bCs/>
              </w:rPr>
              <w:t>14</w:t>
            </w:r>
          </w:p>
        </w:tc>
        <w:tc>
          <w:tcPr>
            <w:tcW w:w="8214" w:type="dxa"/>
          </w:tcPr>
          <w:p w:rsidR="00821608" w:rsidRPr="00716193" w:rsidRDefault="007544ED" w:rsidP="00716193">
            <w:pPr>
              <w:tabs>
                <w:tab w:val="left" w:pos="5728"/>
              </w:tabs>
              <w:ind w:left="-114" w:right="-80"/>
              <w:jc w:val="both"/>
            </w:pPr>
            <w:r w:rsidRPr="00716193">
              <w:t xml:space="preserve">Писмо с приложения, изх. на </w:t>
            </w:r>
            <w:r w:rsidR="004A0135" w:rsidRPr="00716193">
              <w:t>„</w:t>
            </w:r>
            <w:r w:rsidRPr="00716193">
              <w:t>НСБ</w:t>
            </w:r>
            <w:r w:rsidR="004A0135" w:rsidRPr="00716193">
              <w:t>“</w:t>
            </w:r>
            <w:r w:rsidRPr="00716193">
              <w:t xml:space="preserve"> ЕАД № 12-002161-1 от 01.11.2012 г., от изпълнителния директор на </w:t>
            </w:r>
            <w:r w:rsidR="004A0135" w:rsidRPr="00716193">
              <w:t>„</w:t>
            </w:r>
            <w:r w:rsidRPr="00716193">
              <w:t>НСБ</w:t>
            </w:r>
            <w:r w:rsidR="004A0135" w:rsidRPr="00716193">
              <w:t>"</w:t>
            </w:r>
            <w:r w:rsidRPr="00716193">
              <w:t xml:space="preserve"> ЕАД до министъра на физическото възпитание и спорта</w:t>
            </w:r>
          </w:p>
        </w:tc>
        <w:tc>
          <w:tcPr>
            <w:tcW w:w="709" w:type="dxa"/>
          </w:tcPr>
          <w:p w:rsidR="00821608" w:rsidRPr="00716193" w:rsidRDefault="007544ED" w:rsidP="00716193">
            <w:pPr>
              <w:ind w:left="-82"/>
              <w:jc w:val="center"/>
            </w:pPr>
            <w:r w:rsidRPr="00716193">
              <w:t>23</w:t>
            </w:r>
          </w:p>
        </w:tc>
      </w:tr>
      <w:tr w:rsidR="00821608" w:rsidRPr="00716193" w:rsidTr="00716193">
        <w:tc>
          <w:tcPr>
            <w:tcW w:w="683" w:type="dxa"/>
            <w:gridSpan w:val="2"/>
          </w:tcPr>
          <w:p w:rsidR="00821608" w:rsidRPr="009909AE" w:rsidRDefault="007E183D" w:rsidP="00716193">
            <w:pPr>
              <w:ind w:right="-102"/>
              <w:jc w:val="center"/>
              <w:rPr>
                <w:bCs/>
              </w:rPr>
            </w:pPr>
            <w:r w:rsidRPr="009909AE">
              <w:rPr>
                <w:bCs/>
              </w:rPr>
              <w:t>15</w:t>
            </w:r>
          </w:p>
        </w:tc>
        <w:tc>
          <w:tcPr>
            <w:tcW w:w="8214" w:type="dxa"/>
          </w:tcPr>
          <w:p w:rsidR="00821608" w:rsidRPr="00716193" w:rsidRDefault="007E183D" w:rsidP="00716193">
            <w:pPr>
              <w:tabs>
                <w:tab w:val="left" w:pos="5728"/>
              </w:tabs>
              <w:ind w:left="-114" w:right="-80"/>
              <w:jc w:val="both"/>
            </w:pPr>
            <w:r w:rsidRPr="00716193">
              <w:t xml:space="preserve">Писмо, изх. на МФВС № 11-00-544/1 от 22.11.2012 г., от министъра на физическото възпитание и спорта до изпълнителния директор на </w:t>
            </w:r>
            <w:r w:rsidR="00DF1F75" w:rsidRPr="00716193">
              <w:t>„</w:t>
            </w:r>
            <w:r w:rsidRPr="00716193">
              <w:t>НСБ</w:t>
            </w:r>
            <w:r w:rsidR="00DF1F75" w:rsidRPr="00716193">
              <w:t>“</w:t>
            </w:r>
            <w:r w:rsidRPr="00716193">
              <w:t xml:space="preserve"> ЕАД</w:t>
            </w:r>
          </w:p>
        </w:tc>
        <w:tc>
          <w:tcPr>
            <w:tcW w:w="709" w:type="dxa"/>
          </w:tcPr>
          <w:p w:rsidR="00821608" w:rsidRPr="00716193" w:rsidRDefault="007E183D" w:rsidP="00716193">
            <w:pPr>
              <w:ind w:left="-82"/>
              <w:jc w:val="center"/>
            </w:pPr>
            <w:r w:rsidRPr="00716193">
              <w:t>4</w:t>
            </w:r>
          </w:p>
        </w:tc>
      </w:tr>
      <w:tr w:rsidR="00821608" w:rsidRPr="00716193" w:rsidTr="00716193">
        <w:tc>
          <w:tcPr>
            <w:tcW w:w="683" w:type="dxa"/>
            <w:gridSpan w:val="2"/>
          </w:tcPr>
          <w:p w:rsidR="00821608" w:rsidRPr="009909AE" w:rsidRDefault="00AB7D22" w:rsidP="00716193">
            <w:pPr>
              <w:ind w:right="-102"/>
              <w:jc w:val="center"/>
              <w:rPr>
                <w:bCs/>
              </w:rPr>
            </w:pPr>
            <w:r w:rsidRPr="009909AE">
              <w:rPr>
                <w:bCs/>
              </w:rPr>
              <w:t>16</w:t>
            </w:r>
          </w:p>
        </w:tc>
        <w:tc>
          <w:tcPr>
            <w:tcW w:w="8214" w:type="dxa"/>
          </w:tcPr>
          <w:p w:rsidR="00821608" w:rsidRPr="00716193" w:rsidRDefault="00AB7D22" w:rsidP="00716193">
            <w:pPr>
              <w:tabs>
                <w:tab w:val="left" w:pos="5728"/>
              </w:tabs>
              <w:ind w:left="-114" w:right="-80"/>
              <w:jc w:val="both"/>
            </w:pPr>
            <w:r w:rsidRPr="00716193">
              <w:t xml:space="preserve">Протоколи с решения на едноличния собственик на капитала на </w:t>
            </w:r>
            <w:r w:rsidR="00DF1F75" w:rsidRPr="00716193">
              <w:t>„</w:t>
            </w:r>
            <w:r w:rsidRPr="00716193">
              <w:t>НСБ</w:t>
            </w:r>
            <w:r w:rsidR="00DF1F75" w:rsidRPr="00716193">
              <w:t>“</w:t>
            </w:r>
            <w:r w:rsidRPr="00716193">
              <w:t xml:space="preserve"> ЕАД – министъра на ФВС/МС, №/дата: № 28-00-16/10.09.2012 г.; № 28-00-</w:t>
            </w:r>
            <w:r w:rsidRPr="00716193">
              <w:lastRenderedPageBreak/>
              <w:t>26/27.12.2012 г.; № 28-00-1/08.01.2013 г.; № 28-00-8/24.07.2013 г.; № 28-00-14/31.10.2013 г.; № 28-00-1/03.02.2014 г.; № 28-00-5/01.07.2014 г.; № 28-00-9/30.07.2014 г.; № 28-00-11/24.10.2014 г.; № 28-00-12/19.11.2014 г.; № 28-00-15/02.12.2014 г.</w:t>
            </w:r>
          </w:p>
        </w:tc>
        <w:tc>
          <w:tcPr>
            <w:tcW w:w="709" w:type="dxa"/>
          </w:tcPr>
          <w:p w:rsidR="00821608" w:rsidRPr="00716193" w:rsidRDefault="00A30246" w:rsidP="00716193">
            <w:pPr>
              <w:ind w:left="-82"/>
              <w:jc w:val="center"/>
            </w:pPr>
            <w:r w:rsidRPr="00716193">
              <w:lastRenderedPageBreak/>
              <w:t>17</w:t>
            </w:r>
          </w:p>
        </w:tc>
      </w:tr>
      <w:tr w:rsidR="00821608" w:rsidRPr="00716193" w:rsidTr="00716193">
        <w:tc>
          <w:tcPr>
            <w:tcW w:w="683" w:type="dxa"/>
            <w:gridSpan w:val="2"/>
          </w:tcPr>
          <w:p w:rsidR="00821608" w:rsidRPr="009909AE" w:rsidRDefault="00EB1B1B" w:rsidP="00716193">
            <w:pPr>
              <w:ind w:right="-102"/>
              <w:jc w:val="center"/>
              <w:rPr>
                <w:bCs/>
              </w:rPr>
            </w:pPr>
            <w:r w:rsidRPr="009909AE">
              <w:rPr>
                <w:bCs/>
              </w:rPr>
              <w:lastRenderedPageBreak/>
              <w:t>17</w:t>
            </w:r>
          </w:p>
        </w:tc>
        <w:tc>
          <w:tcPr>
            <w:tcW w:w="8214" w:type="dxa"/>
          </w:tcPr>
          <w:p w:rsidR="00821608" w:rsidRPr="00716193" w:rsidRDefault="00EB1B1B" w:rsidP="00716193">
            <w:pPr>
              <w:pStyle w:val="FootnoteText"/>
              <w:tabs>
                <w:tab w:val="left" w:pos="5728"/>
              </w:tabs>
              <w:ind w:left="-114" w:right="-80"/>
              <w:jc w:val="both"/>
              <w:rPr>
                <w:sz w:val="24"/>
                <w:szCs w:val="24"/>
              </w:rPr>
            </w:pPr>
            <w:r w:rsidRPr="00716193">
              <w:rPr>
                <w:sz w:val="24"/>
                <w:szCs w:val="24"/>
              </w:rPr>
              <w:t>Справка за измененията в състава на Съвета на директорите на „Национална спортна база“ ЕАД за периода 01.01.2013 г. – 31.12.2014 г.</w:t>
            </w:r>
          </w:p>
        </w:tc>
        <w:tc>
          <w:tcPr>
            <w:tcW w:w="709" w:type="dxa"/>
          </w:tcPr>
          <w:p w:rsidR="00821608" w:rsidRPr="00716193" w:rsidRDefault="00380F47" w:rsidP="00716193">
            <w:pPr>
              <w:ind w:left="-82"/>
              <w:jc w:val="center"/>
            </w:pPr>
            <w:r w:rsidRPr="00716193">
              <w:t>3</w:t>
            </w:r>
          </w:p>
        </w:tc>
      </w:tr>
      <w:tr w:rsidR="008C2046" w:rsidRPr="00716193" w:rsidTr="00716193">
        <w:tc>
          <w:tcPr>
            <w:tcW w:w="683" w:type="dxa"/>
            <w:gridSpan w:val="2"/>
          </w:tcPr>
          <w:p w:rsidR="008C2046" w:rsidRPr="009909AE" w:rsidRDefault="00882485" w:rsidP="00716193">
            <w:pPr>
              <w:ind w:right="-102"/>
              <w:jc w:val="center"/>
              <w:rPr>
                <w:bCs/>
              </w:rPr>
            </w:pPr>
            <w:r w:rsidRPr="009909AE">
              <w:rPr>
                <w:bCs/>
              </w:rPr>
              <w:t>18</w:t>
            </w:r>
          </w:p>
        </w:tc>
        <w:tc>
          <w:tcPr>
            <w:tcW w:w="8214" w:type="dxa"/>
          </w:tcPr>
          <w:p w:rsidR="008C2046" w:rsidRPr="00716193" w:rsidRDefault="00882485" w:rsidP="00716193">
            <w:pPr>
              <w:tabs>
                <w:tab w:val="left" w:pos="5728"/>
              </w:tabs>
              <w:ind w:left="-114" w:right="-80"/>
              <w:jc w:val="both"/>
            </w:pPr>
            <w:r w:rsidRPr="00716193">
              <w:t xml:space="preserve">Договори за възлагане на управлението:№ 35-00-1/10.09.2009 г. с Радослав Рангелов, Юрий Станков; № 35-00-5/10.09.2012 г. с Велина Божилова; № 35-00-15/27.12.2012 г. с Виктор Михайлов; № 35-00-1/09.01.2013 г. с Миглена Николова-Трайкова; № 35-00-9/24.07.2013 г. с Марио Примджанов; </w:t>
            </w:r>
            <w:r w:rsidRPr="00716193">
              <w:rPr>
                <w:rFonts w:eastAsia="Calibri"/>
                <w:lang w:eastAsia="en-US"/>
              </w:rPr>
              <w:t>№ 35-00-7/24.07.2013 г. с Цветко Начев; № 35-00-8/24.07.2913 г. с Николай Боршуков; № 35-00-19/31.10.2013 г. с Антон Попов; № 35-00-4/01.07.2014 г. с Деница Узунова; № 35-00-7/31.07.2014 г. с Цветелин Братанов; № 35-00-11/24.10.2014 г. с Пламен Манолов; № 35-00-12/24.10.2014 г. с Георги Сеизов; № 35-00-19/02.12.2014 г. със Стоян Танев; № 35-00-20/02.12.2014 г. с Красимир Керезов; № 35-00-18/02.12.2014 г. с Емилия Груева</w:t>
            </w:r>
          </w:p>
        </w:tc>
        <w:tc>
          <w:tcPr>
            <w:tcW w:w="709" w:type="dxa"/>
          </w:tcPr>
          <w:p w:rsidR="008C2046" w:rsidRPr="00716193" w:rsidRDefault="00BB6A70" w:rsidP="00716193">
            <w:pPr>
              <w:ind w:left="-82"/>
              <w:jc w:val="center"/>
            </w:pPr>
            <w:r w:rsidRPr="00716193">
              <w:t>108</w:t>
            </w:r>
          </w:p>
        </w:tc>
      </w:tr>
      <w:tr w:rsidR="008C2046" w:rsidRPr="00716193" w:rsidTr="00716193">
        <w:tc>
          <w:tcPr>
            <w:tcW w:w="683" w:type="dxa"/>
            <w:gridSpan w:val="2"/>
          </w:tcPr>
          <w:p w:rsidR="008C2046" w:rsidRPr="009909AE" w:rsidRDefault="00143B33" w:rsidP="00716193">
            <w:pPr>
              <w:ind w:right="-102"/>
              <w:jc w:val="center"/>
              <w:rPr>
                <w:bCs/>
              </w:rPr>
            </w:pPr>
            <w:r w:rsidRPr="009909AE">
              <w:rPr>
                <w:bCs/>
              </w:rPr>
              <w:t>19</w:t>
            </w:r>
          </w:p>
        </w:tc>
        <w:tc>
          <w:tcPr>
            <w:tcW w:w="8214" w:type="dxa"/>
          </w:tcPr>
          <w:p w:rsidR="008C2046" w:rsidRPr="00716193" w:rsidRDefault="00143B33" w:rsidP="00716193">
            <w:pPr>
              <w:tabs>
                <w:tab w:val="left" w:pos="5728"/>
              </w:tabs>
              <w:ind w:left="-114" w:right="-80"/>
              <w:jc w:val="both"/>
            </w:pPr>
            <w:r w:rsidRPr="00716193">
              <w:rPr>
                <w:rFonts w:eastAsia="Calibri"/>
                <w:lang w:eastAsia="en-US"/>
              </w:rPr>
              <w:t>Протокол от Общо събрание на „Национална спортна база“ ЕАД № 28-00-15 от 01.11.2013 г.; Протокол от Общо събрание на „Национална спортна база“ ЕАД № 28-00-8 от 29.07.2014 г.</w:t>
            </w:r>
          </w:p>
        </w:tc>
        <w:tc>
          <w:tcPr>
            <w:tcW w:w="709" w:type="dxa"/>
          </w:tcPr>
          <w:p w:rsidR="008C2046" w:rsidRPr="00716193" w:rsidRDefault="00143B33" w:rsidP="00716193">
            <w:pPr>
              <w:ind w:left="-82"/>
              <w:jc w:val="center"/>
            </w:pPr>
            <w:r w:rsidRPr="00716193">
              <w:t>2</w:t>
            </w:r>
          </w:p>
        </w:tc>
      </w:tr>
      <w:tr w:rsidR="008C2046" w:rsidRPr="00716193" w:rsidTr="00716193">
        <w:tc>
          <w:tcPr>
            <w:tcW w:w="683" w:type="dxa"/>
            <w:gridSpan w:val="2"/>
          </w:tcPr>
          <w:p w:rsidR="008C2046" w:rsidRPr="009909AE" w:rsidRDefault="0099292B" w:rsidP="00716193">
            <w:pPr>
              <w:ind w:right="-102"/>
              <w:jc w:val="center"/>
              <w:rPr>
                <w:bCs/>
              </w:rPr>
            </w:pPr>
            <w:r w:rsidRPr="009909AE">
              <w:rPr>
                <w:bCs/>
              </w:rPr>
              <w:t>20</w:t>
            </w:r>
          </w:p>
        </w:tc>
        <w:tc>
          <w:tcPr>
            <w:tcW w:w="8214" w:type="dxa"/>
          </w:tcPr>
          <w:p w:rsidR="008C2046" w:rsidRPr="00716193" w:rsidRDefault="0099292B" w:rsidP="00716193">
            <w:pPr>
              <w:tabs>
                <w:tab w:val="left" w:pos="5728"/>
              </w:tabs>
              <w:ind w:left="-114" w:right="-80"/>
              <w:jc w:val="both"/>
            </w:pPr>
            <w:r w:rsidRPr="00716193">
              <w:t>Договор за независим финансов одит № 13-2995-2/04.12.2013 г.; Договор за независим финансов одит № 14-2226-1/11.11.2014 г.</w:t>
            </w:r>
          </w:p>
        </w:tc>
        <w:tc>
          <w:tcPr>
            <w:tcW w:w="709" w:type="dxa"/>
          </w:tcPr>
          <w:p w:rsidR="008C2046" w:rsidRPr="00716193" w:rsidRDefault="0099292B" w:rsidP="00716193">
            <w:pPr>
              <w:ind w:left="-82"/>
              <w:jc w:val="center"/>
            </w:pPr>
            <w:r w:rsidRPr="00716193">
              <w:t>15</w:t>
            </w:r>
          </w:p>
        </w:tc>
      </w:tr>
      <w:tr w:rsidR="008C2046" w:rsidRPr="00716193" w:rsidTr="00716193">
        <w:tc>
          <w:tcPr>
            <w:tcW w:w="683" w:type="dxa"/>
            <w:gridSpan w:val="2"/>
          </w:tcPr>
          <w:p w:rsidR="008C2046" w:rsidRPr="009909AE" w:rsidRDefault="00102C08" w:rsidP="00716193">
            <w:pPr>
              <w:ind w:right="-102"/>
              <w:jc w:val="center"/>
              <w:rPr>
                <w:bCs/>
              </w:rPr>
            </w:pPr>
            <w:r w:rsidRPr="009909AE">
              <w:rPr>
                <w:bCs/>
              </w:rPr>
              <w:t>21</w:t>
            </w:r>
          </w:p>
        </w:tc>
        <w:tc>
          <w:tcPr>
            <w:tcW w:w="8214" w:type="dxa"/>
          </w:tcPr>
          <w:p w:rsidR="008C2046" w:rsidRPr="00716193" w:rsidRDefault="00102C08" w:rsidP="00716193">
            <w:pPr>
              <w:tabs>
                <w:tab w:val="left" w:pos="5728"/>
              </w:tabs>
              <w:ind w:left="-114" w:right="-80"/>
              <w:jc w:val="both"/>
            </w:pPr>
            <w:r w:rsidRPr="00716193">
              <w:rPr>
                <w:rFonts w:eastAsia="Calibri"/>
                <w:lang w:eastAsia="en-US"/>
              </w:rPr>
              <w:t xml:space="preserve">Протокол от Общо събрание на „Национална спортна база“ ЕАД № 28-00-8 от 29.07.2014 г.; </w:t>
            </w:r>
            <w:r w:rsidR="00AA1F26" w:rsidRPr="00716193">
              <w:rPr>
                <w:rFonts w:eastAsia="Calibri"/>
                <w:lang w:eastAsia="en-US"/>
              </w:rPr>
              <w:t>Протокол № 28-00-29 от 23.07.2015 г. на едноличния собственик на капитала на „Национална спортна база“ ЕАД;</w:t>
            </w:r>
          </w:p>
        </w:tc>
        <w:tc>
          <w:tcPr>
            <w:tcW w:w="709" w:type="dxa"/>
          </w:tcPr>
          <w:p w:rsidR="008C2046" w:rsidRPr="00716193" w:rsidRDefault="00AA1F26" w:rsidP="00716193">
            <w:pPr>
              <w:ind w:left="-82"/>
              <w:jc w:val="center"/>
            </w:pPr>
            <w:r w:rsidRPr="00716193">
              <w:t>2</w:t>
            </w:r>
          </w:p>
        </w:tc>
      </w:tr>
      <w:tr w:rsidR="008C2046" w:rsidRPr="00716193" w:rsidTr="00716193">
        <w:tc>
          <w:tcPr>
            <w:tcW w:w="683" w:type="dxa"/>
            <w:gridSpan w:val="2"/>
          </w:tcPr>
          <w:p w:rsidR="008C2046" w:rsidRPr="009909AE" w:rsidRDefault="007D0DF4" w:rsidP="00716193">
            <w:pPr>
              <w:ind w:right="-102"/>
              <w:jc w:val="center"/>
              <w:rPr>
                <w:bCs/>
              </w:rPr>
            </w:pPr>
            <w:r w:rsidRPr="009909AE">
              <w:rPr>
                <w:bCs/>
              </w:rPr>
              <w:t>22</w:t>
            </w:r>
          </w:p>
        </w:tc>
        <w:tc>
          <w:tcPr>
            <w:tcW w:w="8214" w:type="dxa"/>
          </w:tcPr>
          <w:p w:rsidR="008C2046" w:rsidRPr="00716193" w:rsidRDefault="007D0DF4" w:rsidP="00716193">
            <w:pPr>
              <w:tabs>
                <w:tab w:val="left" w:pos="5728"/>
              </w:tabs>
              <w:ind w:left="-114" w:right="-80"/>
              <w:jc w:val="both"/>
            </w:pPr>
            <w:r w:rsidRPr="00716193">
              <w:rPr>
                <w:rFonts w:eastAsia="Calibri"/>
                <w:lang w:eastAsia="en-US"/>
              </w:rPr>
              <w:t xml:space="preserve">Писмо, изх. на </w:t>
            </w:r>
            <w:r w:rsidR="00DF1F75" w:rsidRPr="00716193">
              <w:rPr>
                <w:rFonts w:eastAsia="Calibri"/>
                <w:lang w:eastAsia="en-US"/>
              </w:rPr>
              <w:t>„</w:t>
            </w:r>
            <w:r w:rsidRPr="00716193">
              <w:rPr>
                <w:rFonts w:eastAsia="Calibri"/>
                <w:lang w:eastAsia="en-US"/>
              </w:rPr>
              <w:t>НСБ</w:t>
            </w:r>
            <w:r w:rsidR="00DF1F75" w:rsidRPr="00716193">
              <w:rPr>
                <w:rFonts w:eastAsia="Calibri"/>
                <w:lang w:eastAsia="en-US"/>
              </w:rPr>
              <w:t>“</w:t>
            </w:r>
            <w:r w:rsidRPr="00716193">
              <w:rPr>
                <w:rFonts w:eastAsia="Calibri"/>
                <w:lang w:eastAsia="en-US"/>
              </w:rPr>
              <w:t xml:space="preserve"> ЕАД № 15-57-1 от 03.02.2015 г. за предоставяне на ръководителя на одитния екип на изискана информация с писмо вх. на </w:t>
            </w:r>
            <w:r w:rsidR="00DF1F75" w:rsidRPr="00716193">
              <w:rPr>
                <w:rFonts w:eastAsia="Calibri"/>
                <w:lang w:eastAsia="en-US"/>
              </w:rPr>
              <w:t>„</w:t>
            </w:r>
            <w:r w:rsidRPr="00716193">
              <w:rPr>
                <w:rFonts w:eastAsia="Calibri"/>
                <w:lang w:eastAsia="en-US"/>
              </w:rPr>
              <w:t>НСБ</w:t>
            </w:r>
            <w:r w:rsidR="00DF1F75" w:rsidRPr="00716193">
              <w:rPr>
                <w:rFonts w:eastAsia="Calibri"/>
                <w:lang w:eastAsia="en-US"/>
              </w:rPr>
              <w:t>“</w:t>
            </w:r>
            <w:r w:rsidRPr="00716193">
              <w:rPr>
                <w:rFonts w:eastAsia="Calibri"/>
                <w:lang w:eastAsia="en-US"/>
              </w:rPr>
              <w:t xml:space="preserve"> ЕАД № 15-57-1/26.01.2015 г.</w:t>
            </w:r>
          </w:p>
        </w:tc>
        <w:tc>
          <w:tcPr>
            <w:tcW w:w="709" w:type="dxa"/>
          </w:tcPr>
          <w:p w:rsidR="008C2046" w:rsidRPr="00716193" w:rsidRDefault="007D0DF4" w:rsidP="00716193">
            <w:pPr>
              <w:ind w:left="-82"/>
              <w:jc w:val="center"/>
            </w:pPr>
            <w:r w:rsidRPr="00716193">
              <w:t>5</w:t>
            </w:r>
          </w:p>
        </w:tc>
      </w:tr>
      <w:tr w:rsidR="008C2046" w:rsidRPr="00716193" w:rsidTr="00716193">
        <w:tc>
          <w:tcPr>
            <w:tcW w:w="683" w:type="dxa"/>
            <w:gridSpan w:val="2"/>
          </w:tcPr>
          <w:p w:rsidR="008C2046" w:rsidRPr="009909AE" w:rsidRDefault="008665A4" w:rsidP="00716193">
            <w:pPr>
              <w:ind w:right="-102"/>
              <w:jc w:val="center"/>
              <w:rPr>
                <w:bCs/>
              </w:rPr>
            </w:pPr>
            <w:r w:rsidRPr="009909AE">
              <w:rPr>
                <w:bCs/>
              </w:rPr>
              <w:t>23</w:t>
            </w:r>
          </w:p>
        </w:tc>
        <w:tc>
          <w:tcPr>
            <w:tcW w:w="8214" w:type="dxa"/>
          </w:tcPr>
          <w:p w:rsidR="008C2046" w:rsidRPr="00716193" w:rsidRDefault="008665A4" w:rsidP="00716193">
            <w:pPr>
              <w:tabs>
                <w:tab w:val="left" w:pos="5728"/>
              </w:tabs>
              <w:ind w:left="-114" w:right="-80"/>
              <w:jc w:val="both"/>
            </w:pPr>
            <w:r w:rsidRPr="00716193">
              <w:rPr>
                <w:rFonts w:eastAsia="Calibri"/>
                <w:lang w:eastAsia="en-US"/>
              </w:rPr>
              <w:t>РД-И-1.34</w:t>
            </w:r>
            <w:r w:rsidRPr="00716193">
              <w:rPr>
                <w:rFonts w:eastAsia="Calibri"/>
                <w:lang w:val="en-US" w:eastAsia="en-US"/>
              </w:rPr>
              <w:t>-1(</w:t>
            </w:r>
            <w:r w:rsidRPr="00716193">
              <w:rPr>
                <w:rFonts w:eastAsia="Calibri"/>
                <w:lang w:eastAsia="en-US"/>
              </w:rPr>
              <w:t>2</w:t>
            </w:r>
            <w:r w:rsidRPr="00716193">
              <w:rPr>
                <w:rFonts w:eastAsia="Calibri"/>
                <w:lang w:val="en-US" w:eastAsia="en-US"/>
              </w:rPr>
              <w:t>)</w:t>
            </w:r>
            <w:r w:rsidRPr="00716193">
              <w:rPr>
                <w:rFonts w:eastAsia="Calibri"/>
                <w:lang w:eastAsia="en-US"/>
              </w:rPr>
              <w:t>/12.06.2015 г. – Констативен протокол</w:t>
            </w:r>
          </w:p>
        </w:tc>
        <w:tc>
          <w:tcPr>
            <w:tcW w:w="709" w:type="dxa"/>
          </w:tcPr>
          <w:p w:rsidR="008C2046" w:rsidRPr="00716193" w:rsidRDefault="008665A4" w:rsidP="00716193">
            <w:pPr>
              <w:ind w:left="-82"/>
              <w:jc w:val="center"/>
            </w:pPr>
            <w:r w:rsidRPr="00716193">
              <w:t>1</w:t>
            </w:r>
          </w:p>
        </w:tc>
      </w:tr>
      <w:tr w:rsidR="008C2046" w:rsidRPr="00716193" w:rsidTr="00716193">
        <w:tc>
          <w:tcPr>
            <w:tcW w:w="683" w:type="dxa"/>
            <w:gridSpan w:val="2"/>
          </w:tcPr>
          <w:p w:rsidR="008C2046" w:rsidRPr="009909AE" w:rsidRDefault="009C6793" w:rsidP="00716193">
            <w:pPr>
              <w:ind w:right="-102"/>
              <w:jc w:val="center"/>
              <w:rPr>
                <w:bCs/>
              </w:rPr>
            </w:pPr>
            <w:r w:rsidRPr="009909AE">
              <w:rPr>
                <w:bCs/>
              </w:rPr>
              <w:t>24</w:t>
            </w:r>
          </w:p>
        </w:tc>
        <w:tc>
          <w:tcPr>
            <w:tcW w:w="8214" w:type="dxa"/>
          </w:tcPr>
          <w:p w:rsidR="008C2046" w:rsidRPr="00716193" w:rsidRDefault="009C6793" w:rsidP="00716193">
            <w:pPr>
              <w:tabs>
                <w:tab w:val="left" w:pos="5728"/>
              </w:tabs>
              <w:ind w:left="-114" w:right="-80"/>
              <w:jc w:val="both"/>
            </w:pPr>
            <w:r w:rsidRPr="00716193">
              <w:t>Стратегии и препоръки, насоки и предложения за устойчиво управление на собствеността и икономическото развитие на дружество „Национална спортна база“ ЕАД, гр. София</w:t>
            </w:r>
          </w:p>
        </w:tc>
        <w:tc>
          <w:tcPr>
            <w:tcW w:w="709" w:type="dxa"/>
          </w:tcPr>
          <w:p w:rsidR="008C2046" w:rsidRPr="00716193" w:rsidRDefault="009C6793" w:rsidP="00716193">
            <w:pPr>
              <w:ind w:left="-82"/>
              <w:jc w:val="center"/>
            </w:pPr>
            <w:r w:rsidRPr="00716193">
              <w:t>62</w:t>
            </w:r>
          </w:p>
        </w:tc>
      </w:tr>
      <w:tr w:rsidR="008C2046" w:rsidRPr="00716193" w:rsidTr="00716193">
        <w:tc>
          <w:tcPr>
            <w:tcW w:w="683" w:type="dxa"/>
            <w:gridSpan w:val="2"/>
          </w:tcPr>
          <w:p w:rsidR="008C2046" w:rsidRPr="009909AE" w:rsidRDefault="00D57A2B" w:rsidP="00716193">
            <w:pPr>
              <w:ind w:right="-102"/>
              <w:jc w:val="center"/>
              <w:rPr>
                <w:bCs/>
              </w:rPr>
            </w:pPr>
            <w:r w:rsidRPr="009909AE">
              <w:rPr>
                <w:bCs/>
              </w:rPr>
              <w:t>25</w:t>
            </w:r>
          </w:p>
        </w:tc>
        <w:tc>
          <w:tcPr>
            <w:tcW w:w="8214" w:type="dxa"/>
          </w:tcPr>
          <w:p w:rsidR="008C2046" w:rsidRPr="00716193" w:rsidRDefault="00D57A2B" w:rsidP="00716193">
            <w:pPr>
              <w:tabs>
                <w:tab w:val="left" w:pos="5728"/>
              </w:tabs>
              <w:ind w:left="-114" w:right="-80"/>
              <w:jc w:val="both"/>
            </w:pPr>
            <w:r w:rsidRPr="00716193">
              <w:t xml:space="preserve">Писмо от министъра на младежта и спорта, изх. № 11-00-538 от 09.08.2013 г., до СД на </w:t>
            </w:r>
            <w:r w:rsidR="00DF1F75" w:rsidRPr="00716193">
              <w:t>„</w:t>
            </w:r>
            <w:r w:rsidRPr="00716193">
              <w:t>НСБ</w:t>
            </w:r>
            <w:r w:rsidR="00DF1F75" w:rsidRPr="00716193">
              <w:t>“</w:t>
            </w:r>
            <w:r w:rsidRPr="00716193">
              <w:t xml:space="preserve"> ЕАД, писмо от изпълнителния директор на </w:t>
            </w:r>
            <w:r w:rsidR="00DF1F75" w:rsidRPr="00716193">
              <w:t>„</w:t>
            </w:r>
            <w:r w:rsidRPr="00716193">
              <w:t>НСБ</w:t>
            </w:r>
            <w:r w:rsidR="00DF1F75" w:rsidRPr="00716193">
              <w:t>“</w:t>
            </w:r>
            <w:r w:rsidRPr="00716193">
              <w:t xml:space="preserve"> ЕАД, изх. на </w:t>
            </w:r>
            <w:r w:rsidR="00DF1F75" w:rsidRPr="00716193">
              <w:t>„</w:t>
            </w:r>
            <w:r w:rsidRPr="00716193">
              <w:t>НСБ</w:t>
            </w:r>
            <w:r w:rsidR="00DF1F75" w:rsidRPr="00716193">
              <w:t>“</w:t>
            </w:r>
            <w:r w:rsidRPr="00716193">
              <w:t xml:space="preserve"> ЕАД № 13-2025-1 от 24.09.2013 г. за представяне на бизнес програмата на дружеството на министъра на младежта и спорта, „Бизнес програма и стратегия за развитие на „Национална спортна база“ ЕАД за периода 2013 – 2016 година“</w:t>
            </w:r>
          </w:p>
        </w:tc>
        <w:tc>
          <w:tcPr>
            <w:tcW w:w="709" w:type="dxa"/>
          </w:tcPr>
          <w:p w:rsidR="008C2046" w:rsidRPr="00716193" w:rsidRDefault="009302FE" w:rsidP="00716193">
            <w:pPr>
              <w:ind w:left="-82"/>
              <w:jc w:val="center"/>
            </w:pPr>
            <w:r w:rsidRPr="00716193">
              <w:t>122</w:t>
            </w:r>
          </w:p>
        </w:tc>
      </w:tr>
      <w:tr w:rsidR="00821608" w:rsidRPr="00716193" w:rsidTr="00716193">
        <w:tc>
          <w:tcPr>
            <w:tcW w:w="683" w:type="dxa"/>
            <w:gridSpan w:val="2"/>
          </w:tcPr>
          <w:p w:rsidR="00821608" w:rsidRPr="009909AE" w:rsidRDefault="00314FA7" w:rsidP="00716193">
            <w:pPr>
              <w:ind w:right="-102"/>
              <w:jc w:val="center"/>
              <w:rPr>
                <w:bCs/>
              </w:rPr>
            </w:pPr>
            <w:r w:rsidRPr="009909AE">
              <w:rPr>
                <w:bCs/>
              </w:rPr>
              <w:t>26</w:t>
            </w:r>
          </w:p>
        </w:tc>
        <w:tc>
          <w:tcPr>
            <w:tcW w:w="8214" w:type="dxa"/>
          </w:tcPr>
          <w:p w:rsidR="00821608" w:rsidRPr="00716193" w:rsidRDefault="00314FA7" w:rsidP="00716193">
            <w:pPr>
              <w:tabs>
                <w:tab w:val="left" w:pos="5728"/>
              </w:tabs>
              <w:ind w:left="-114" w:right="-80"/>
              <w:jc w:val="both"/>
            </w:pPr>
            <w:r w:rsidRPr="00716193">
              <w:t>Постановление № 114 на МС от 10.06.2010 г. за наблюдение и контрол върху финансовото състояние на държавни предприятия и търговски дружества с над 50 на сто държавно участие в капитала и на дружествата, които те контролират</w:t>
            </w:r>
          </w:p>
        </w:tc>
        <w:tc>
          <w:tcPr>
            <w:tcW w:w="709" w:type="dxa"/>
          </w:tcPr>
          <w:p w:rsidR="00821608" w:rsidRPr="00716193" w:rsidRDefault="00314FA7" w:rsidP="00716193">
            <w:pPr>
              <w:ind w:left="-82"/>
              <w:jc w:val="center"/>
            </w:pPr>
            <w:r w:rsidRPr="00716193">
              <w:t>2</w:t>
            </w:r>
          </w:p>
        </w:tc>
      </w:tr>
      <w:tr w:rsidR="00314FA7" w:rsidRPr="00716193" w:rsidTr="00716193">
        <w:tc>
          <w:tcPr>
            <w:tcW w:w="683" w:type="dxa"/>
            <w:gridSpan w:val="2"/>
          </w:tcPr>
          <w:p w:rsidR="00314FA7" w:rsidRPr="009909AE" w:rsidRDefault="00DE5E10" w:rsidP="00716193">
            <w:pPr>
              <w:ind w:right="-102"/>
              <w:jc w:val="center"/>
              <w:rPr>
                <w:bCs/>
              </w:rPr>
            </w:pPr>
            <w:r w:rsidRPr="009909AE">
              <w:rPr>
                <w:bCs/>
              </w:rPr>
              <w:t>27</w:t>
            </w:r>
          </w:p>
        </w:tc>
        <w:tc>
          <w:tcPr>
            <w:tcW w:w="8214" w:type="dxa"/>
          </w:tcPr>
          <w:p w:rsidR="00314FA7" w:rsidRPr="00716193" w:rsidRDefault="00D4034F" w:rsidP="00716193">
            <w:pPr>
              <w:tabs>
                <w:tab w:val="left" w:pos="5728"/>
              </w:tabs>
              <w:ind w:left="-114" w:right="-80"/>
              <w:jc w:val="both"/>
            </w:pPr>
            <w:r w:rsidRPr="00716193">
              <w:t xml:space="preserve">Доклад на независимия одитор </w:t>
            </w:r>
            <w:r w:rsidR="00F73E13" w:rsidRPr="00716193">
              <w:t>за извършен одит на ГФО за 2013 г.</w:t>
            </w:r>
            <w:r w:rsidR="00F3382F" w:rsidRPr="00716193">
              <w:t xml:space="preserve"> и Годишен индивидуален доклад за дейността на „Национална спортна база“ ЕАД през 2013 г.;</w:t>
            </w:r>
            <w:r w:rsidR="00F73E13" w:rsidRPr="00716193">
              <w:t xml:space="preserve"> Доклад на независимия одитор за извършен одит на ГФО за 2014 г. </w:t>
            </w:r>
            <w:r w:rsidRPr="00716193">
              <w:t xml:space="preserve">и заверено копие от ГФО на </w:t>
            </w:r>
            <w:r w:rsidR="00DF1F75" w:rsidRPr="00716193">
              <w:t>„</w:t>
            </w:r>
            <w:r w:rsidRPr="00716193">
              <w:t>НСБ</w:t>
            </w:r>
            <w:r w:rsidR="00DF1F75" w:rsidRPr="00716193">
              <w:t>“</w:t>
            </w:r>
            <w:r w:rsidRPr="00716193">
              <w:t xml:space="preserve"> ЕАД за 2014 г. с приложенията към него</w:t>
            </w:r>
          </w:p>
        </w:tc>
        <w:tc>
          <w:tcPr>
            <w:tcW w:w="709" w:type="dxa"/>
          </w:tcPr>
          <w:p w:rsidR="00314FA7" w:rsidRPr="00716193" w:rsidRDefault="008D2502" w:rsidP="00716193">
            <w:pPr>
              <w:ind w:left="-82"/>
              <w:jc w:val="center"/>
            </w:pPr>
            <w:r w:rsidRPr="00716193">
              <w:t>73</w:t>
            </w:r>
          </w:p>
        </w:tc>
      </w:tr>
      <w:tr w:rsidR="00314FA7" w:rsidRPr="00716193" w:rsidTr="00716193">
        <w:tc>
          <w:tcPr>
            <w:tcW w:w="683" w:type="dxa"/>
            <w:gridSpan w:val="2"/>
          </w:tcPr>
          <w:p w:rsidR="00314FA7" w:rsidRPr="009909AE" w:rsidRDefault="009F7FDB" w:rsidP="00716193">
            <w:pPr>
              <w:ind w:right="-102"/>
              <w:jc w:val="center"/>
              <w:rPr>
                <w:bCs/>
              </w:rPr>
            </w:pPr>
            <w:r w:rsidRPr="009909AE">
              <w:rPr>
                <w:bCs/>
              </w:rPr>
              <w:t>28</w:t>
            </w:r>
          </w:p>
        </w:tc>
        <w:tc>
          <w:tcPr>
            <w:tcW w:w="8214" w:type="dxa"/>
          </w:tcPr>
          <w:p w:rsidR="00314FA7" w:rsidRPr="00716193" w:rsidRDefault="009F7FDB" w:rsidP="00716193">
            <w:pPr>
              <w:tabs>
                <w:tab w:val="left" w:pos="5728"/>
              </w:tabs>
              <w:ind w:left="-114" w:right="-80"/>
              <w:jc w:val="both"/>
            </w:pPr>
            <w:r w:rsidRPr="00716193">
              <w:t xml:space="preserve">Протоколи с решения на Съвета на директорите на </w:t>
            </w:r>
            <w:r w:rsidR="00DF1F75" w:rsidRPr="00716193">
              <w:t>„</w:t>
            </w:r>
            <w:r w:rsidRPr="00716193">
              <w:t>НСБ</w:t>
            </w:r>
            <w:r w:rsidR="00DF1F75" w:rsidRPr="00716193">
              <w:t>“</w:t>
            </w:r>
            <w:r w:rsidRPr="00716193">
              <w:t xml:space="preserve">    ЕАД – №/дата:</w:t>
            </w:r>
            <w:r w:rsidRPr="00716193">
              <w:rPr>
                <w:rFonts w:eastAsia="Calibri"/>
                <w:lang w:eastAsia="en-US"/>
              </w:rPr>
              <w:t xml:space="preserve"> № 207/27.12.2012 г.; № 214/24.07.2013 г.; № 235/20.10.2014 г.; № 236/24.10.2014 г.</w:t>
            </w:r>
          </w:p>
        </w:tc>
        <w:tc>
          <w:tcPr>
            <w:tcW w:w="709" w:type="dxa"/>
          </w:tcPr>
          <w:p w:rsidR="00314FA7" w:rsidRPr="00716193" w:rsidRDefault="009F7FDB" w:rsidP="00716193">
            <w:pPr>
              <w:ind w:left="-82"/>
              <w:jc w:val="center"/>
            </w:pPr>
            <w:r w:rsidRPr="00716193">
              <w:t>8</w:t>
            </w:r>
          </w:p>
        </w:tc>
      </w:tr>
      <w:tr w:rsidR="00314FA7" w:rsidRPr="00716193" w:rsidTr="00716193">
        <w:tc>
          <w:tcPr>
            <w:tcW w:w="683" w:type="dxa"/>
            <w:gridSpan w:val="2"/>
          </w:tcPr>
          <w:p w:rsidR="00314FA7" w:rsidRPr="009909AE" w:rsidRDefault="00007ED9" w:rsidP="00716193">
            <w:pPr>
              <w:ind w:right="-102"/>
              <w:jc w:val="center"/>
              <w:rPr>
                <w:bCs/>
              </w:rPr>
            </w:pPr>
            <w:r w:rsidRPr="009909AE">
              <w:rPr>
                <w:bCs/>
              </w:rPr>
              <w:t>29</w:t>
            </w:r>
          </w:p>
        </w:tc>
        <w:tc>
          <w:tcPr>
            <w:tcW w:w="8214" w:type="dxa"/>
          </w:tcPr>
          <w:p w:rsidR="00314FA7" w:rsidRPr="00716193" w:rsidRDefault="00033FF9" w:rsidP="00716193">
            <w:pPr>
              <w:tabs>
                <w:tab w:val="left" w:pos="5728"/>
              </w:tabs>
              <w:ind w:left="-114" w:right="-80"/>
              <w:jc w:val="both"/>
            </w:pPr>
            <w:r w:rsidRPr="00716193">
              <w:t>Протокол с решени</w:t>
            </w:r>
            <w:r w:rsidR="00217B0F" w:rsidRPr="00716193">
              <w:rPr>
                <w:lang w:val="en-US"/>
              </w:rPr>
              <w:t>e</w:t>
            </w:r>
            <w:r w:rsidRPr="00716193">
              <w:t xml:space="preserve"> на Съвета на директорите на </w:t>
            </w:r>
            <w:r w:rsidR="00DF1F75" w:rsidRPr="00716193">
              <w:t>„</w:t>
            </w:r>
            <w:r w:rsidRPr="00716193">
              <w:t>НСБ</w:t>
            </w:r>
            <w:r w:rsidR="00DF1F75" w:rsidRPr="00716193">
              <w:t>“</w:t>
            </w:r>
            <w:r w:rsidRPr="00716193">
              <w:t xml:space="preserve"> </w:t>
            </w:r>
            <w:r w:rsidR="000976F7" w:rsidRPr="00716193">
              <w:br/>
            </w:r>
            <w:r w:rsidRPr="00716193">
              <w:t>ЕАД – №/дата:</w:t>
            </w:r>
            <w:r w:rsidRPr="00716193">
              <w:rPr>
                <w:rFonts w:eastAsia="Calibri"/>
                <w:lang w:eastAsia="en-US"/>
              </w:rPr>
              <w:t xml:space="preserve"> № 235/20.10.2014 г.</w:t>
            </w:r>
          </w:p>
        </w:tc>
        <w:tc>
          <w:tcPr>
            <w:tcW w:w="709" w:type="dxa"/>
          </w:tcPr>
          <w:p w:rsidR="00314FA7" w:rsidRPr="00716193" w:rsidRDefault="00033FF9" w:rsidP="00716193">
            <w:pPr>
              <w:ind w:left="-82"/>
              <w:jc w:val="center"/>
            </w:pPr>
            <w:r w:rsidRPr="00716193">
              <w:t>2</w:t>
            </w:r>
          </w:p>
        </w:tc>
      </w:tr>
      <w:tr w:rsidR="00314FA7" w:rsidRPr="00716193" w:rsidTr="00716193">
        <w:tc>
          <w:tcPr>
            <w:tcW w:w="683" w:type="dxa"/>
            <w:gridSpan w:val="2"/>
          </w:tcPr>
          <w:p w:rsidR="00314FA7" w:rsidRPr="009909AE" w:rsidRDefault="00891183" w:rsidP="00716193">
            <w:pPr>
              <w:ind w:right="-102"/>
              <w:jc w:val="center"/>
              <w:rPr>
                <w:bCs/>
              </w:rPr>
            </w:pPr>
            <w:r w:rsidRPr="009909AE">
              <w:rPr>
                <w:bCs/>
              </w:rPr>
              <w:lastRenderedPageBreak/>
              <w:t>30</w:t>
            </w:r>
          </w:p>
        </w:tc>
        <w:tc>
          <w:tcPr>
            <w:tcW w:w="8214" w:type="dxa"/>
          </w:tcPr>
          <w:p w:rsidR="00314FA7" w:rsidRPr="00716193" w:rsidRDefault="00891183" w:rsidP="00716193">
            <w:pPr>
              <w:tabs>
                <w:tab w:val="left" w:pos="5728"/>
              </w:tabs>
              <w:ind w:left="-114" w:right="-80"/>
              <w:jc w:val="both"/>
            </w:pPr>
            <w:r w:rsidRPr="00716193">
              <w:rPr>
                <w:rFonts w:eastAsia="Calibri"/>
                <w:lang w:eastAsia="en-US"/>
              </w:rPr>
              <w:t>Договори, №/дата: № 12-002554-2/27.12.2012 г. с Велина Божилова; № 13-1909-1/1/24.07.2013 г. с Марио Примджанов; № 14-2130-2/30.10.2014 г. с Пламен Манолов</w:t>
            </w:r>
          </w:p>
        </w:tc>
        <w:tc>
          <w:tcPr>
            <w:tcW w:w="709" w:type="dxa"/>
          </w:tcPr>
          <w:p w:rsidR="00314FA7" w:rsidRPr="00716193" w:rsidRDefault="00751CD8" w:rsidP="00716193">
            <w:pPr>
              <w:ind w:left="-82"/>
              <w:jc w:val="center"/>
            </w:pPr>
            <w:r w:rsidRPr="00716193">
              <w:t>17</w:t>
            </w:r>
          </w:p>
        </w:tc>
      </w:tr>
      <w:tr w:rsidR="00314FA7" w:rsidRPr="00716193" w:rsidTr="00716193">
        <w:tc>
          <w:tcPr>
            <w:tcW w:w="683" w:type="dxa"/>
            <w:gridSpan w:val="2"/>
          </w:tcPr>
          <w:p w:rsidR="00314FA7" w:rsidRPr="009909AE" w:rsidRDefault="00751CD8" w:rsidP="00716193">
            <w:pPr>
              <w:ind w:right="-102"/>
              <w:jc w:val="center"/>
              <w:rPr>
                <w:bCs/>
              </w:rPr>
            </w:pPr>
            <w:r w:rsidRPr="009909AE">
              <w:rPr>
                <w:bCs/>
              </w:rPr>
              <w:t>31</w:t>
            </w:r>
          </w:p>
        </w:tc>
        <w:tc>
          <w:tcPr>
            <w:tcW w:w="8214" w:type="dxa"/>
          </w:tcPr>
          <w:p w:rsidR="00314FA7" w:rsidRPr="00716193" w:rsidRDefault="00751CD8" w:rsidP="00716193">
            <w:pPr>
              <w:tabs>
                <w:tab w:val="left" w:pos="5728"/>
              </w:tabs>
              <w:ind w:left="-114" w:right="-80"/>
              <w:jc w:val="both"/>
            </w:pPr>
            <w:r w:rsidRPr="00716193">
              <w:rPr>
                <w:lang w:eastAsia="en-US"/>
              </w:rPr>
              <w:t xml:space="preserve">Правила за работа на Съвета на директорите на „Национална спортна база“ ЕАД – гр. София </w:t>
            </w:r>
            <w:r w:rsidRPr="00716193">
              <w:rPr>
                <w:i/>
                <w:lang w:eastAsia="en-US"/>
              </w:rPr>
              <w:t>(приети с Протокол № 161/20.10.2009 г.,в сила от 20.10.2009 г.)</w:t>
            </w:r>
            <w:r w:rsidRPr="00716193">
              <w:rPr>
                <w:lang w:eastAsia="en-US"/>
              </w:rPr>
              <w:t xml:space="preserve">; Правила за работа на Съвета на директорите </w:t>
            </w:r>
            <w:r w:rsidRPr="00716193">
              <w:rPr>
                <w:i/>
                <w:lang w:eastAsia="en-US"/>
              </w:rPr>
              <w:t>(приети с Протокол № 209 от 26.02 2013 г., в сила от 26.02.2013 г.)</w:t>
            </w:r>
            <w:r w:rsidRPr="00716193">
              <w:rPr>
                <w:lang w:eastAsia="en-US"/>
              </w:rPr>
              <w:t xml:space="preserve">; Правилник за организацията и дейността на Съвета на директорите </w:t>
            </w:r>
            <w:r w:rsidRPr="00716193">
              <w:rPr>
                <w:i/>
                <w:lang w:eastAsia="en-US"/>
              </w:rPr>
              <w:t>(приет с Протокол</w:t>
            </w:r>
            <w:r w:rsidRPr="00716193">
              <w:rPr>
                <w:i/>
                <w:lang w:val="en-US" w:eastAsia="en-US"/>
              </w:rPr>
              <w:t xml:space="preserve"> </w:t>
            </w:r>
            <w:r w:rsidRPr="00716193">
              <w:rPr>
                <w:i/>
                <w:lang w:eastAsia="en-US"/>
              </w:rPr>
              <w:t>№ 237 от 06.11.2014 г., в сила от 06.11.2014 г.)</w:t>
            </w:r>
          </w:p>
        </w:tc>
        <w:tc>
          <w:tcPr>
            <w:tcW w:w="709" w:type="dxa"/>
          </w:tcPr>
          <w:p w:rsidR="00314FA7" w:rsidRPr="00716193" w:rsidRDefault="00411DF8" w:rsidP="00716193">
            <w:pPr>
              <w:ind w:left="-82"/>
              <w:jc w:val="center"/>
            </w:pPr>
            <w:r w:rsidRPr="00716193">
              <w:t>16</w:t>
            </w:r>
          </w:p>
        </w:tc>
      </w:tr>
      <w:tr w:rsidR="00314FA7" w:rsidRPr="00716193" w:rsidTr="00716193">
        <w:tc>
          <w:tcPr>
            <w:tcW w:w="683" w:type="dxa"/>
            <w:gridSpan w:val="2"/>
          </w:tcPr>
          <w:p w:rsidR="00314FA7" w:rsidRPr="009909AE" w:rsidRDefault="0016267C" w:rsidP="00716193">
            <w:pPr>
              <w:ind w:right="-102"/>
              <w:jc w:val="center"/>
              <w:rPr>
                <w:bCs/>
              </w:rPr>
            </w:pPr>
            <w:r w:rsidRPr="009909AE">
              <w:rPr>
                <w:bCs/>
              </w:rPr>
              <w:t>32</w:t>
            </w:r>
          </w:p>
        </w:tc>
        <w:tc>
          <w:tcPr>
            <w:tcW w:w="8214" w:type="dxa"/>
          </w:tcPr>
          <w:p w:rsidR="00314FA7" w:rsidRPr="00716193" w:rsidRDefault="0016267C" w:rsidP="00716193">
            <w:pPr>
              <w:tabs>
                <w:tab w:val="left" w:pos="5728"/>
              </w:tabs>
              <w:ind w:left="-114" w:right="-80"/>
              <w:jc w:val="both"/>
            </w:pPr>
            <w:r w:rsidRPr="00716193">
              <w:t xml:space="preserve">Протоколи с решения на Съвета на директорите на </w:t>
            </w:r>
            <w:r w:rsidR="00DF1F75" w:rsidRPr="00716193">
              <w:t>„</w:t>
            </w:r>
            <w:r w:rsidRPr="00716193">
              <w:t>НСБ</w:t>
            </w:r>
            <w:r w:rsidR="00DF1F75" w:rsidRPr="00716193">
              <w:t>“</w:t>
            </w:r>
            <w:r w:rsidRPr="00716193">
              <w:t xml:space="preserve">    ЕАД – №/дата: № 208/ 28.01.2013 г.; № 210/ 29.03.2013 г.; № 211/ 17.05.2013 г.; </w:t>
            </w:r>
            <w:r w:rsidRPr="00716193">
              <w:rPr>
                <w:color w:val="000000"/>
              </w:rPr>
              <w:t>№ 212/17.06.2013 г.; № 213/23.07.2013 г.;</w:t>
            </w:r>
            <w:r w:rsidRPr="00716193">
              <w:t xml:space="preserve"> № 215/ 29.07.2013 г.; № 216/ 14.08.2013 г.; № 218/ 18.09.2013 г.; № 219/ 03.10.2013 г.; № 221/ 25.11.2013 г.; № 224/ 11.02.2014 г.; № 227/ 08.05.2014 г.; № 228/ 05.06.2014 г.; № 237/ 06.11.2014 г.</w:t>
            </w:r>
          </w:p>
        </w:tc>
        <w:tc>
          <w:tcPr>
            <w:tcW w:w="709" w:type="dxa"/>
          </w:tcPr>
          <w:p w:rsidR="00314FA7" w:rsidRPr="00716193" w:rsidRDefault="00390682" w:rsidP="00716193">
            <w:pPr>
              <w:ind w:left="-82"/>
              <w:jc w:val="center"/>
            </w:pPr>
            <w:r w:rsidRPr="00716193">
              <w:t>111</w:t>
            </w:r>
          </w:p>
        </w:tc>
      </w:tr>
      <w:tr w:rsidR="00314FA7" w:rsidRPr="00716193" w:rsidTr="00716193">
        <w:tc>
          <w:tcPr>
            <w:tcW w:w="683" w:type="dxa"/>
            <w:gridSpan w:val="2"/>
          </w:tcPr>
          <w:p w:rsidR="00314FA7" w:rsidRPr="009909AE" w:rsidRDefault="00390682" w:rsidP="00716193">
            <w:pPr>
              <w:ind w:right="-102"/>
              <w:jc w:val="center"/>
              <w:rPr>
                <w:bCs/>
              </w:rPr>
            </w:pPr>
            <w:r w:rsidRPr="009909AE">
              <w:rPr>
                <w:bCs/>
              </w:rPr>
              <w:t>33</w:t>
            </w:r>
          </w:p>
        </w:tc>
        <w:tc>
          <w:tcPr>
            <w:tcW w:w="8214" w:type="dxa"/>
          </w:tcPr>
          <w:p w:rsidR="00314FA7" w:rsidRPr="00716193" w:rsidRDefault="00390682" w:rsidP="00716193">
            <w:pPr>
              <w:tabs>
                <w:tab w:val="left" w:pos="5728"/>
              </w:tabs>
              <w:ind w:left="-114" w:right="-80"/>
              <w:jc w:val="both"/>
            </w:pPr>
            <w:r w:rsidRPr="00716193">
              <w:t xml:space="preserve">Щатни разписания през одитирания период, както следва: решение на Съвета на директорите-протокол № от дата/ в сила от: </w:t>
            </w:r>
            <w:r w:rsidRPr="00716193">
              <w:rPr>
                <w:rFonts w:eastAsia="Calibri"/>
                <w:lang w:eastAsia="en-US"/>
              </w:rPr>
              <w:t xml:space="preserve">№ 208 от 28.01.2013 г./01.02.2013 г.; № 210 от 29.03.2013 г./01.05.2013 г.; № 211 от 17.05.2013 г./01.06.2013 г.; № 212 от 17.06.2013 г. и № 213 от 23.07.2013 г./01.07.2013 г.; № 215 от 29.07.2013 г./01.08.2013 г.; № 216 от 14.08.2013 г./19.08.2013 г.; № 218 от 18.09.2013 г./01.10.2013 г.; № 219 от 03.10.2013 г./04.10.2013 г.; № 219 от 03.10.2013 г./15.10.2013 г.; </w:t>
            </w:r>
            <w:r w:rsidRPr="00716193">
              <w:rPr>
                <w:rFonts w:eastAsia="Calibri"/>
                <w:color w:val="000000"/>
                <w:lang w:eastAsia="en-US"/>
              </w:rPr>
              <w:t xml:space="preserve">04.11.2013 г.; </w:t>
            </w:r>
            <w:r w:rsidRPr="00716193">
              <w:rPr>
                <w:rFonts w:eastAsia="Calibri"/>
                <w:lang w:eastAsia="en-US"/>
              </w:rPr>
              <w:t xml:space="preserve">№ 221 от 25.11.2013 г./01.12.2013 г.; № 224 от 11.02.2014 г./15.02.2014 г.; </w:t>
            </w:r>
            <w:r w:rsidRPr="00716193">
              <w:rPr>
                <w:rFonts w:eastAsia="Calibri"/>
                <w:color w:val="000000"/>
                <w:lang w:eastAsia="en-US"/>
              </w:rPr>
              <w:t xml:space="preserve">01.03.2014 г.; </w:t>
            </w:r>
            <w:r w:rsidRPr="00716193">
              <w:rPr>
                <w:rFonts w:eastAsia="Calibri"/>
                <w:lang w:eastAsia="en-US"/>
              </w:rPr>
              <w:t>№ 227 от 08.05.2014 г./15.05.2014 г.; № 228 от 05.06.2014 г./10.06.2014 г.; № 237 от 06.11.2014 г./01.12.2014 г.</w:t>
            </w:r>
          </w:p>
        </w:tc>
        <w:tc>
          <w:tcPr>
            <w:tcW w:w="709" w:type="dxa"/>
          </w:tcPr>
          <w:p w:rsidR="00314FA7" w:rsidRPr="00716193" w:rsidRDefault="00A23A23" w:rsidP="00716193">
            <w:pPr>
              <w:ind w:left="-82"/>
              <w:jc w:val="center"/>
            </w:pPr>
            <w:r w:rsidRPr="00716193">
              <w:t>130</w:t>
            </w:r>
          </w:p>
        </w:tc>
      </w:tr>
      <w:tr w:rsidR="00314FA7" w:rsidRPr="00716193" w:rsidTr="00716193">
        <w:tc>
          <w:tcPr>
            <w:tcW w:w="683" w:type="dxa"/>
            <w:gridSpan w:val="2"/>
          </w:tcPr>
          <w:p w:rsidR="00314FA7" w:rsidRPr="009909AE" w:rsidRDefault="0062592E" w:rsidP="00716193">
            <w:pPr>
              <w:ind w:right="-102"/>
              <w:jc w:val="center"/>
              <w:rPr>
                <w:bCs/>
              </w:rPr>
            </w:pPr>
            <w:r w:rsidRPr="009909AE">
              <w:rPr>
                <w:bCs/>
              </w:rPr>
              <w:t>34</w:t>
            </w:r>
          </w:p>
        </w:tc>
        <w:tc>
          <w:tcPr>
            <w:tcW w:w="8214" w:type="dxa"/>
          </w:tcPr>
          <w:p w:rsidR="00314FA7" w:rsidRPr="00716193" w:rsidRDefault="0062592E" w:rsidP="00716193">
            <w:pPr>
              <w:tabs>
                <w:tab w:val="left" w:pos="5728"/>
              </w:tabs>
              <w:ind w:left="-114" w:right="-80"/>
              <w:jc w:val="both"/>
            </w:pPr>
            <w:r w:rsidRPr="00716193">
              <w:t>РД-И-1.34-1</w:t>
            </w:r>
            <w:r w:rsidRPr="00716193">
              <w:rPr>
                <w:lang w:val="en-US"/>
              </w:rPr>
              <w:t>(</w:t>
            </w:r>
            <w:r w:rsidRPr="00716193">
              <w:t>3</w:t>
            </w:r>
            <w:r w:rsidRPr="00716193">
              <w:rPr>
                <w:lang w:val="en-US"/>
              </w:rPr>
              <w:t>)</w:t>
            </w:r>
            <w:r w:rsidRPr="00716193">
              <w:t>/12.06.2015 г. – Констативен протокол</w:t>
            </w:r>
          </w:p>
        </w:tc>
        <w:tc>
          <w:tcPr>
            <w:tcW w:w="709" w:type="dxa"/>
          </w:tcPr>
          <w:p w:rsidR="00314FA7" w:rsidRPr="00716193" w:rsidRDefault="0062592E" w:rsidP="00716193">
            <w:pPr>
              <w:ind w:left="-82"/>
              <w:jc w:val="center"/>
            </w:pPr>
            <w:r w:rsidRPr="00716193">
              <w:t>2</w:t>
            </w:r>
          </w:p>
        </w:tc>
      </w:tr>
      <w:tr w:rsidR="00314FA7" w:rsidRPr="00716193" w:rsidTr="00716193">
        <w:tc>
          <w:tcPr>
            <w:tcW w:w="683" w:type="dxa"/>
            <w:gridSpan w:val="2"/>
          </w:tcPr>
          <w:p w:rsidR="00314FA7" w:rsidRPr="009909AE" w:rsidRDefault="00C55DAE" w:rsidP="00716193">
            <w:pPr>
              <w:ind w:right="-102"/>
              <w:jc w:val="center"/>
              <w:rPr>
                <w:bCs/>
              </w:rPr>
            </w:pPr>
            <w:r w:rsidRPr="009909AE">
              <w:rPr>
                <w:bCs/>
              </w:rPr>
              <w:t>35</w:t>
            </w:r>
          </w:p>
        </w:tc>
        <w:tc>
          <w:tcPr>
            <w:tcW w:w="8214" w:type="dxa"/>
          </w:tcPr>
          <w:p w:rsidR="00314FA7" w:rsidRPr="00716193" w:rsidRDefault="00C55DAE" w:rsidP="00716193">
            <w:pPr>
              <w:tabs>
                <w:tab w:val="left" w:pos="5728"/>
              </w:tabs>
              <w:ind w:left="-114" w:right="-80"/>
              <w:jc w:val="both"/>
            </w:pPr>
            <w:r w:rsidRPr="00716193">
              <w:t>Органиграма от м. февруари 2013 г. и органиграма от м. ноември 2014 г.</w:t>
            </w:r>
          </w:p>
        </w:tc>
        <w:tc>
          <w:tcPr>
            <w:tcW w:w="709" w:type="dxa"/>
          </w:tcPr>
          <w:p w:rsidR="00314FA7" w:rsidRPr="00716193" w:rsidRDefault="00C55DAE" w:rsidP="00716193">
            <w:pPr>
              <w:ind w:left="-82"/>
              <w:jc w:val="center"/>
            </w:pPr>
            <w:r w:rsidRPr="00716193">
              <w:t>2</w:t>
            </w:r>
          </w:p>
        </w:tc>
      </w:tr>
      <w:tr w:rsidR="00314FA7" w:rsidRPr="00716193" w:rsidTr="00716193">
        <w:tc>
          <w:tcPr>
            <w:tcW w:w="683" w:type="dxa"/>
            <w:gridSpan w:val="2"/>
          </w:tcPr>
          <w:p w:rsidR="00314FA7" w:rsidRPr="009909AE" w:rsidRDefault="00EE5F6F" w:rsidP="00716193">
            <w:pPr>
              <w:ind w:right="-102"/>
              <w:jc w:val="center"/>
              <w:rPr>
                <w:bCs/>
              </w:rPr>
            </w:pPr>
            <w:r w:rsidRPr="009909AE">
              <w:rPr>
                <w:bCs/>
              </w:rPr>
              <w:t>36</w:t>
            </w:r>
          </w:p>
        </w:tc>
        <w:tc>
          <w:tcPr>
            <w:tcW w:w="8214" w:type="dxa"/>
          </w:tcPr>
          <w:p w:rsidR="00314FA7" w:rsidRPr="00716193" w:rsidRDefault="00EE5F6F" w:rsidP="00716193">
            <w:pPr>
              <w:pStyle w:val="FootnoteText"/>
              <w:tabs>
                <w:tab w:val="left" w:pos="5728"/>
              </w:tabs>
              <w:ind w:left="-114" w:right="-80"/>
              <w:jc w:val="both"/>
              <w:rPr>
                <w:sz w:val="24"/>
                <w:szCs w:val="24"/>
              </w:rPr>
            </w:pPr>
            <w:r w:rsidRPr="00716193">
              <w:rPr>
                <w:sz w:val="24"/>
                <w:szCs w:val="24"/>
              </w:rPr>
              <w:t>Щатно разписание,  утвърдено от Съвета на директорите с протокол № 237 от 06.11.2014 г. в сила от 01.12.2014 г. и  органиграма от м. ноември 2014 г.</w:t>
            </w:r>
          </w:p>
        </w:tc>
        <w:tc>
          <w:tcPr>
            <w:tcW w:w="709" w:type="dxa"/>
          </w:tcPr>
          <w:p w:rsidR="00314FA7" w:rsidRPr="00716193" w:rsidRDefault="007D1D27" w:rsidP="00716193">
            <w:pPr>
              <w:ind w:left="-82"/>
              <w:jc w:val="center"/>
            </w:pPr>
            <w:r w:rsidRPr="00716193">
              <w:t>10</w:t>
            </w:r>
          </w:p>
        </w:tc>
      </w:tr>
      <w:tr w:rsidR="00314FA7" w:rsidRPr="00716193" w:rsidTr="00716193">
        <w:tc>
          <w:tcPr>
            <w:tcW w:w="683" w:type="dxa"/>
            <w:gridSpan w:val="2"/>
          </w:tcPr>
          <w:p w:rsidR="00314FA7" w:rsidRPr="009909AE" w:rsidRDefault="0051026B" w:rsidP="00716193">
            <w:pPr>
              <w:ind w:right="-102"/>
              <w:jc w:val="center"/>
              <w:rPr>
                <w:bCs/>
              </w:rPr>
            </w:pPr>
            <w:r w:rsidRPr="009909AE">
              <w:rPr>
                <w:bCs/>
              </w:rPr>
              <w:t>37</w:t>
            </w:r>
          </w:p>
        </w:tc>
        <w:tc>
          <w:tcPr>
            <w:tcW w:w="8214" w:type="dxa"/>
          </w:tcPr>
          <w:p w:rsidR="00314FA7" w:rsidRPr="00716193" w:rsidRDefault="0051026B" w:rsidP="00716193">
            <w:pPr>
              <w:tabs>
                <w:tab w:val="left" w:pos="5728"/>
              </w:tabs>
              <w:ind w:left="-114" w:right="-80"/>
              <w:jc w:val="both"/>
            </w:pPr>
            <w:r w:rsidRPr="00716193">
              <w:t>Справка за списъчния и средносписъчния брой на персонала – „НСБ“ ЕАД</w:t>
            </w:r>
          </w:p>
        </w:tc>
        <w:tc>
          <w:tcPr>
            <w:tcW w:w="709" w:type="dxa"/>
          </w:tcPr>
          <w:p w:rsidR="00314FA7" w:rsidRPr="00716193" w:rsidRDefault="0051026B" w:rsidP="00716193">
            <w:pPr>
              <w:ind w:left="-82"/>
              <w:jc w:val="center"/>
            </w:pPr>
            <w:r w:rsidRPr="00716193">
              <w:t>1</w:t>
            </w:r>
          </w:p>
        </w:tc>
      </w:tr>
      <w:tr w:rsidR="00314FA7" w:rsidRPr="00716193" w:rsidTr="00716193">
        <w:tc>
          <w:tcPr>
            <w:tcW w:w="683" w:type="dxa"/>
            <w:gridSpan w:val="2"/>
          </w:tcPr>
          <w:p w:rsidR="00314FA7" w:rsidRPr="009909AE" w:rsidRDefault="00030AB4" w:rsidP="00716193">
            <w:pPr>
              <w:ind w:right="-102"/>
              <w:jc w:val="center"/>
              <w:rPr>
                <w:bCs/>
              </w:rPr>
            </w:pPr>
            <w:r w:rsidRPr="009909AE">
              <w:rPr>
                <w:bCs/>
              </w:rPr>
              <w:t>38</w:t>
            </w:r>
          </w:p>
        </w:tc>
        <w:tc>
          <w:tcPr>
            <w:tcW w:w="8214" w:type="dxa"/>
          </w:tcPr>
          <w:p w:rsidR="00314FA7" w:rsidRPr="00716193" w:rsidRDefault="00030AB4" w:rsidP="00716193">
            <w:pPr>
              <w:tabs>
                <w:tab w:val="left" w:pos="5728"/>
              </w:tabs>
              <w:ind w:left="-114" w:right="-80"/>
              <w:jc w:val="both"/>
            </w:pPr>
            <w:r w:rsidRPr="00716193">
              <w:t xml:space="preserve">Правилник за устройство и дейността на „Национална спортна база“ ЕАД (приет с Протокол на СД № 162 от 18.11.2009 г.); Правилник за устройство и дейността на „Национална спортна база“ ЕАД (приет с Протокол на СД    № 209/26.02.2013 г.)    </w:t>
            </w:r>
          </w:p>
        </w:tc>
        <w:tc>
          <w:tcPr>
            <w:tcW w:w="709" w:type="dxa"/>
          </w:tcPr>
          <w:p w:rsidR="00314FA7" w:rsidRPr="00716193" w:rsidRDefault="00D1058D" w:rsidP="00716193">
            <w:pPr>
              <w:ind w:left="-82"/>
              <w:jc w:val="center"/>
            </w:pPr>
            <w:r w:rsidRPr="00716193">
              <w:t>19</w:t>
            </w:r>
          </w:p>
        </w:tc>
      </w:tr>
      <w:tr w:rsidR="00314FA7" w:rsidRPr="00716193" w:rsidTr="00716193">
        <w:tc>
          <w:tcPr>
            <w:tcW w:w="683" w:type="dxa"/>
            <w:gridSpan w:val="2"/>
          </w:tcPr>
          <w:p w:rsidR="00314FA7" w:rsidRPr="009909AE" w:rsidRDefault="00D1058D" w:rsidP="00716193">
            <w:pPr>
              <w:ind w:right="-102"/>
              <w:jc w:val="center"/>
              <w:rPr>
                <w:bCs/>
              </w:rPr>
            </w:pPr>
            <w:r w:rsidRPr="009909AE">
              <w:rPr>
                <w:bCs/>
              </w:rPr>
              <w:t>39</w:t>
            </w:r>
          </w:p>
        </w:tc>
        <w:tc>
          <w:tcPr>
            <w:tcW w:w="8214" w:type="dxa"/>
          </w:tcPr>
          <w:p w:rsidR="00314FA7" w:rsidRPr="00716193" w:rsidRDefault="00D1058D" w:rsidP="00716193">
            <w:pPr>
              <w:tabs>
                <w:tab w:val="left" w:pos="5728"/>
              </w:tabs>
              <w:ind w:left="-114" w:right="-80"/>
              <w:jc w:val="both"/>
            </w:pPr>
            <w:r w:rsidRPr="00716193">
              <w:t>Правилник за вътрешния трудов ред в „Национална спортна база“ ЕАД, утвърден на 26.02.2013 г.</w:t>
            </w:r>
          </w:p>
        </w:tc>
        <w:tc>
          <w:tcPr>
            <w:tcW w:w="709" w:type="dxa"/>
          </w:tcPr>
          <w:p w:rsidR="00314FA7" w:rsidRPr="00716193" w:rsidRDefault="00D1058D" w:rsidP="00716193">
            <w:pPr>
              <w:ind w:left="-82"/>
              <w:jc w:val="center"/>
            </w:pPr>
            <w:r w:rsidRPr="00716193">
              <w:t>12</w:t>
            </w:r>
          </w:p>
        </w:tc>
      </w:tr>
      <w:tr w:rsidR="00314FA7" w:rsidRPr="00716193" w:rsidTr="00716193">
        <w:tc>
          <w:tcPr>
            <w:tcW w:w="683" w:type="dxa"/>
            <w:gridSpan w:val="2"/>
          </w:tcPr>
          <w:p w:rsidR="00314FA7" w:rsidRPr="009909AE" w:rsidRDefault="00CB109A" w:rsidP="00716193">
            <w:pPr>
              <w:ind w:right="-102"/>
              <w:jc w:val="center"/>
              <w:rPr>
                <w:bCs/>
              </w:rPr>
            </w:pPr>
            <w:r w:rsidRPr="009909AE">
              <w:rPr>
                <w:bCs/>
              </w:rPr>
              <w:t>40</w:t>
            </w:r>
          </w:p>
        </w:tc>
        <w:tc>
          <w:tcPr>
            <w:tcW w:w="8214" w:type="dxa"/>
          </w:tcPr>
          <w:p w:rsidR="00314FA7" w:rsidRPr="00716193" w:rsidRDefault="00CB109A" w:rsidP="00716193">
            <w:pPr>
              <w:tabs>
                <w:tab w:val="left" w:pos="5728"/>
              </w:tabs>
              <w:ind w:left="-114" w:right="-80"/>
              <w:jc w:val="both"/>
            </w:pPr>
            <w:r w:rsidRPr="00716193">
              <w:rPr>
                <w:bCs/>
              </w:rPr>
              <w:t>РД-П-</w:t>
            </w:r>
            <w:r w:rsidRPr="00716193">
              <w:t>2.33 (3)/19.02.2015 г. – Констативен протокол</w:t>
            </w:r>
          </w:p>
        </w:tc>
        <w:tc>
          <w:tcPr>
            <w:tcW w:w="709" w:type="dxa"/>
          </w:tcPr>
          <w:p w:rsidR="00314FA7" w:rsidRPr="00716193" w:rsidRDefault="00CB109A" w:rsidP="00716193">
            <w:pPr>
              <w:ind w:left="-82"/>
              <w:jc w:val="center"/>
            </w:pPr>
            <w:r w:rsidRPr="00716193">
              <w:t>2</w:t>
            </w:r>
          </w:p>
        </w:tc>
      </w:tr>
      <w:tr w:rsidR="00314FA7" w:rsidRPr="00716193" w:rsidTr="00716193">
        <w:tc>
          <w:tcPr>
            <w:tcW w:w="683" w:type="dxa"/>
            <w:gridSpan w:val="2"/>
          </w:tcPr>
          <w:p w:rsidR="00314FA7" w:rsidRPr="009909AE" w:rsidRDefault="007B552A" w:rsidP="00716193">
            <w:pPr>
              <w:ind w:right="-102"/>
              <w:jc w:val="center"/>
              <w:rPr>
                <w:bCs/>
              </w:rPr>
            </w:pPr>
            <w:r w:rsidRPr="009909AE">
              <w:rPr>
                <w:bCs/>
              </w:rPr>
              <w:t>41</w:t>
            </w:r>
          </w:p>
        </w:tc>
        <w:tc>
          <w:tcPr>
            <w:tcW w:w="8214" w:type="dxa"/>
          </w:tcPr>
          <w:p w:rsidR="00314FA7" w:rsidRPr="00716193" w:rsidRDefault="00CE78E9" w:rsidP="00716193">
            <w:pPr>
              <w:pStyle w:val="BodyText"/>
              <w:tabs>
                <w:tab w:val="left" w:pos="5728"/>
              </w:tabs>
              <w:ind w:left="-114" w:right="-80"/>
              <w:jc w:val="both"/>
            </w:pPr>
            <w:r w:rsidRPr="00716193">
              <w:t>Справка за лицата заемали длъжността финансов контрольор в „Национална спортна база“ ЕАД за периода от 01.01.2013 г. до 31.12.2014 г.</w:t>
            </w:r>
          </w:p>
        </w:tc>
        <w:tc>
          <w:tcPr>
            <w:tcW w:w="709" w:type="dxa"/>
          </w:tcPr>
          <w:p w:rsidR="00314FA7" w:rsidRPr="00716193" w:rsidRDefault="00CE78E9" w:rsidP="00716193">
            <w:pPr>
              <w:ind w:left="-82"/>
              <w:jc w:val="center"/>
            </w:pPr>
            <w:r w:rsidRPr="00716193">
              <w:t>1</w:t>
            </w:r>
          </w:p>
        </w:tc>
      </w:tr>
      <w:tr w:rsidR="00007ED9" w:rsidRPr="00716193" w:rsidTr="00716193">
        <w:tc>
          <w:tcPr>
            <w:tcW w:w="683" w:type="dxa"/>
            <w:gridSpan w:val="2"/>
          </w:tcPr>
          <w:p w:rsidR="00007ED9" w:rsidRPr="009909AE" w:rsidRDefault="007B552A" w:rsidP="00716193">
            <w:pPr>
              <w:ind w:right="-102"/>
              <w:jc w:val="center"/>
              <w:rPr>
                <w:bCs/>
              </w:rPr>
            </w:pPr>
            <w:r w:rsidRPr="009909AE">
              <w:rPr>
                <w:bCs/>
              </w:rPr>
              <w:t>42</w:t>
            </w:r>
          </w:p>
        </w:tc>
        <w:tc>
          <w:tcPr>
            <w:tcW w:w="8214" w:type="dxa"/>
          </w:tcPr>
          <w:p w:rsidR="00007ED9" w:rsidRPr="00716193" w:rsidRDefault="007B552A" w:rsidP="00716193">
            <w:pPr>
              <w:pStyle w:val="FootnoteText"/>
              <w:tabs>
                <w:tab w:val="left" w:pos="5728"/>
              </w:tabs>
              <w:ind w:left="-114" w:right="-80"/>
              <w:jc w:val="both"/>
            </w:pPr>
            <w:r w:rsidRPr="00716193">
              <w:rPr>
                <w:sz w:val="24"/>
                <w:szCs w:val="24"/>
              </w:rPr>
              <w:t>Справка за съдебните вземания към 31.12.2014 г.</w:t>
            </w:r>
          </w:p>
        </w:tc>
        <w:tc>
          <w:tcPr>
            <w:tcW w:w="709" w:type="dxa"/>
          </w:tcPr>
          <w:p w:rsidR="00007ED9" w:rsidRPr="00716193" w:rsidRDefault="007B552A" w:rsidP="00716193">
            <w:pPr>
              <w:ind w:left="-82"/>
              <w:jc w:val="center"/>
            </w:pPr>
            <w:r w:rsidRPr="00716193">
              <w:t>3</w:t>
            </w:r>
          </w:p>
        </w:tc>
      </w:tr>
      <w:tr w:rsidR="00007ED9" w:rsidRPr="00716193" w:rsidTr="00716193">
        <w:tc>
          <w:tcPr>
            <w:tcW w:w="683" w:type="dxa"/>
            <w:gridSpan w:val="2"/>
          </w:tcPr>
          <w:p w:rsidR="00007ED9" w:rsidRPr="009909AE" w:rsidRDefault="007B552A" w:rsidP="00716193">
            <w:pPr>
              <w:ind w:right="-102"/>
              <w:jc w:val="center"/>
              <w:rPr>
                <w:bCs/>
              </w:rPr>
            </w:pPr>
            <w:r w:rsidRPr="009909AE">
              <w:rPr>
                <w:bCs/>
              </w:rPr>
              <w:t>43</w:t>
            </w:r>
          </w:p>
        </w:tc>
        <w:tc>
          <w:tcPr>
            <w:tcW w:w="8214" w:type="dxa"/>
          </w:tcPr>
          <w:p w:rsidR="00007ED9" w:rsidRPr="00716193" w:rsidRDefault="007B552A" w:rsidP="00716193">
            <w:pPr>
              <w:pStyle w:val="FootnoteText"/>
              <w:tabs>
                <w:tab w:val="left" w:pos="5728"/>
              </w:tabs>
              <w:ind w:left="-114" w:right="-80"/>
              <w:jc w:val="both"/>
            </w:pPr>
            <w:r w:rsidRPr="00716193">
              <w:rPr>
                <w:sz w:val="24"/>
                <w:szCs w:val="24"/>
              </w:rPr>
              <w:t>Справка за вземанията към 31.12.2014 г. и Справка за вземанията от федерации и клубове към 31.12.2014 г.</w:t>
            </w:r>
          </w:p>
        </w:tc>
        <w:tc>
          <w:tcPr>
            <w:tcW w:w="709" w:type="dxa"/>
          </w:tcPr>
          <w:p w:rsidR="00007ED9" w:rsidRPr="00716193" w:rsidRDefault="007B552A" w:rsidP="00716193">
            <w:pPr>
              <w:ind w:left="-82"/>
              <w:jc w:val="center"/>
            </w:pPr>
            <w:r w:rsidRPr="00716193">
              <w:t>8</w:t>
            </w:r>
          </w:p>
        </w:tc>
      </w:tr>
      <w:tr w:rsidR="00007ED9" w:rsidRPr="00716193" w:rsidTr="00716193">
        <w:tc>
          <w:tcPr>
            <w:tcW w:w="683" w:type="dxa"/>
            <w:gridSpan w:val="2"/>
          </w:tcPr>
          <w:p w:rsidR="00007ED9" w:rsidRPr="009909AE" w:rsidRDefault="0065369F" w:rsidP="00716193">
            <w:pPr>
              <w:ind w:right="-102"/>
              <w:jc w:val="center"/>
              <w:rPr>
                <w:bCs/>
              </w:rPr>
            </w:pPr>
            <w:r w:rsidRPr="009909AE">
              <w:rPr>
                <w:bCs/>
              </w:rPr>
              <w:t>44</w:t>
            </w:r>
          </w:p>
        </w:tc>
        <w:tc>
          <w:tcPr>
            <w:tcW w:w="8214" w:type="dxa"/>
          </w:tcPr>
          <w:p w:rsidR="00007ED9" w:rsidRPr="00716193" w:rsidRDefault="0065369F" w:rsidP="00716193">
            <w:pPr>
              <w:tabs>
                <w:tab w:val="left" w:pos="5728"/>
              </w:tabs>
              <w:ind w:left="-114" w:right="-80"/>
              <w:jc w:val="both"/>
            </w:pPr>
            <w:r w:rsidRPr="00716193">
              <w:t>Обороти по сметка „4111-…“ за периода от 01.01.2015 г. до 31.12.2015 г.</w:t>
            </w:r>
          </w:p>
        </w:tc>
        <w:tc>
          <w:tcPr>
            <w:tcW w:w="709" w:type="dxa"/>
          </w:tcPr>
          <w:p w:rsidR="00007ED9" w:rsidRPr="00716193" w:rsidRDefault="0065369F" w:rsidP="00716193">
            <w:pPr>
              <w:ind w:left="-82"/>
              <w:jc w:val="center"/>
            </w:pPr>
            <w:r w:rsidRPr="00716193">
              <w:t>15</w:t>
            </w:r>
          </w:p>
        </w:tc>
      </w:tr>
      <w:tr w:rsidR="00007ED9" w:rsidRPr="00716193" w:rsidTr="00716193">
        <w:tc>
          <w:tcPr>
            <w:tcW w:w="683" w:type="dxa"/>
            <w:gridSpan w:val="2"/>
          </w:tcPr>
          <w:p w:rsidR="00007ED9" w:rsidRPr="009909AE" w:rsidRDefault="00BF1420" w:rsidP="00716193">
            <w:pPr>
              <w:ind w:right="-102"/>
              <w:jc w:val="center"/>
              <w:rPr>
                <w:bCs/>
              </w:rPr>
            </w:pPr>
            <w:r w:rsidRPr="009909AE">
              <w:rPr>
                <w:bCs/>
              </w:rPr>
              <w:t>45</w:t>
            </w:r>
          </w:p>
        </w:tc>
        <w:tc>
          <w:tcPr>
            <w:tcW w:w="8214" w:type="dxa"/>
          </w:tcPr>
          <w:p w:rsidR="00007ED9" w:rsidRPr="00716193" w:rsidRDefault="00BF1420" w:rsidP="00716193">
            <w:pPr>
              <w:pStyle w:val="FootnoteText"/>
              <w:tabs>
                <w:tab w:val="left" w:pos="5728"/>
              </w:tabs>
              <w:ind w:left="-114" w:right="-80"/>
              <w:jc w:val="both"/>
              <w:rPr>
                <w:sz w:val="24"/>
                <w:szCs w:val="24"/>
              </w:rPr>
            </w:pPr>
            <w:r w:rsidRPr="00716193">
              <w:rPr>
                <w:sz w:val="24"/>
                <w:szCs w:val="24"/>
              </w:rPr>
              <w:t>Решение на Софийски градски съд  от 14.05.1993 г.</w:t>
            </w:r>
          </w:p>
        </w:tc>
        <w:tc>
          <w:tcPr>
            <w:tcW w:w="709" w:type="dxa"/>
          </w:tcPr>
          <w:p w:rsidR="00007ED9" w:rsidRPr="00716193" w:rsidRDefault="00BF1420" w:rsidP="00716193">
            <w:pPr>
              <w:ind w:left="-82"/>
              <w:jc w:val="center"/>
            </w:pPr>
            <w:r w:rsidRPr="00716193">
              <w:t>1</w:t>
            </w:r>
          </w:p>
        </w:tc>
      </w:tr>
      <w:tr w:rsidR="00007ED9" w:rsidRPr="00716193" w:rsidTr="00716193">
        <w:tc>
          <w:tcPr>
            <w:tcW w:w="683" w:type="dxa"/>
            <w:gridSpan w:val="2"/>
          </w:tcPr>
          <w:p w:rsidR="00007ED9" w:rsidRPr="009909AE" w:rsidRDefault="00F04977" w:rsidP="00716193">
            <w:pPr>
              <w:ind w:right="-102"/>
              <w:jc w:val="center"/>
              <w:rPr>
                <w:bCs/>
              </w:rPr>
            </w:pPr>
            <w:r w:rsidRPr="009909AE">
              <w:rPr>
                <w:bCs/>
              </w:rPr>
              <w:t>46</w:t>
            </w:r>
          </w:p>
        </w:tc>
        <w:tc>
          <w:tcPr>
            <w:tcW w:w="8214" w:type="dxa"/>
          </w:tcPr>
          <w:p w:rsidR="00007ED9" w:rsidRPr="00716193" w:rsidRDefault="006C28FA" w:rsidP="00716193">
            <w:pPr>
              <w:tabs>
                <w:tab w:val="left" w:pos="5728"/>
              </w:tabs>
              <w:ind w:left="-114" w:right="-80"/>
              <w:jc w:val="both"/>
            </w:pPr>
            <w:r w:rsidRPr="00716193">
              <w:rPr>
                <w:rFonts w:eastAsia="Calibri"/>
                <w:lang w:eastAsia="en-US"/>
              </w:rPr>
              <w:t>Счетоводни</w:t>
            </w:r>
            <w:r w:rsidR="00F04977" w:rsidRPr="00716193">
              <w:rPr>
                <w:rFonts w:eastAsia="Calibri"/>
                <w:lang w:eastAsia="en-US"/>
              </w:rPr>
              <w:t xml:space="preserve"> извлечени</w:t>
            </w:r>
            <w:r w:rsidRPr="00716193">
              <w:rPr>
                <w:rFonts w:eastAsia="Calibri"/>
                <w:lang w:eastAsia="en-US"/>
              </w:rPr>
              <w:t>я</w:t>
            </w:r>
            <w:r w:rsidR="00F04977" w:rsidRPr="00716193">
              <w:rPr>
                <w:rFonts w:eastAsia="Calibri"/>
                <w:lang w:eastAsia="en-US"/>
              </w:rPr>
              <w:t xml:space="preserve"> от </w:t>
            </w:r>
            <w:r w:rsidR="00F04977" w:rsidRPr="00716193">
              <w:rPr>
                <w:bCs/>
                <w:color w:val="000000"/>
              </w:rPr>
              <w:t xml:space="preserve">група 20: Дълготрайни </w:t>
            </w:r>
            <w:r w:rsidRPr="00716193">
              <w:rPr>
                <w:bCs/>
                <w:color w:val="000000"/>
              </w:rPr>
              <w:t>м</w:t>
            </w:r>
            <w:r w:rsidR="00F04977" w:rsidRPr="00716193">
              <w:rPr>
                <w:bCs/>
                <w:color w:val="000000"/>
              </w:rPr>
              <w:t xml:space="preserve">атериални </w:t>
            </w:r>
            <w:r w:rsidRPr="00716193">
              <w:rPr>
                <w:bCs/>
                <w:color w:val="000000"/>
              </w:rPr>
              <w:t>а</w:t>
            </w:r>
            <w:r w:rsidR="00F04977" w:rsidRPr="00716193">
              <w:rPr>
                <w:bCs/>
                <w:color w:val="000000"/>
              </w:rPr>
              <w:t xml:space="preserve">ктиви, </w:t>
            </w:r>
            <w:r w:rsidRPr="00716193">
              <w:rPr>
                <w:bCs/>
                <w:color w:val="000000"/>
              </w:rPr>
              <w:t>за периода от 01.01.2013 г. до 31.12.2013 г., съответно за периода от 01.01.2014 г. до 31.12.2014 г.</w:t>
            </w:r>
          </w:p>
        </w:tc>
        <w:tc>
          <w:tcPr>
            <w:tcW w:w="709" w:type="dxa"/>
          </w:tcPr>
          <w:p w:rsidR="00007ED9" w:rsidRPr="00716193" w:rsidRDefault="00AE38D5" w:rsidP="00716193">
            <w:pPr>
              <w:ind w:left="-82"/>
              <w:jc w:val="center"/>
            </w:pPr>
            <w:r w:rsidRPr="00716193">
              <w:t>10</w:t>
            </w:r>
          </w:p>
        </w:tc>
      </w:tr>
      <w:tr w:rsidR="00007ED9" w:rsidRPr="00716193" w:rsidTr="00716193">
        <w:tc>
          <w:tcPr>
            <w:tcW w:w="683" w:type="dxa"/>
            <w:gridSpan w:val="2"/>
          </w:tcPr>
          <w:p w:rsidR="00007ED9" w:rsidRPr="009909AE" w:rsidRDefault="00F41837" w:rsidP="00716193">
            <w:pPr>
              <w:ind w:right="-102"/>
              <w:jc w:val="center"/>
              <w:rPr>
                <w:bCs/>
              </w:rPr>
            </w:pPr>
            <w:r w:rsidRPr="009909AE">
              <w:rPr>
                <w:bCs/>
              </w:rPr>
              <w:t>47</w:t>
            </w:r>
          </w:p>
        </w:tc>
        <w:tc>
          <w:tcPr>
            <w:tcW w:w="8214" w:type="dxa"/>
          </w:tcPr>
          <w:p w:rsidR="00007ED9" w:rsidRPr="00716193" w:rsidRDefault="00F41837" w:rsidP="00716193">
            <w:pPr>
              <w:pStyle w:val="FootnoteText"/>
              <w:tabs>
                <w:tab w:val="left" w:pos="5728"/>
              </w:tabs>
              <w:ind w:left="-114" w:right="-80"/>
              <w:jc w:val="both"/>
            </w:pPr>
            <w:r w:rsidRPr="00716193">
              <w:rPr>
                <w:bCs/>
                <w:sz w:val="24"/>
                <w:szCs w:val="24"/>
              </w:rPr>
              <w:t>РД-П-2.33</w:t>
            </w:r>
            <w:r w:rsidRPr="00716193">
              <w:rPr>
                <w:bCs/>
                <w:sz w:val="24"/>
                <w:szCs w:val="24"/>
                <w:lang w:val="en-US"/>
              </w:rPr>
              <w:t>(</w:t>
            </w:r>
            <w:r w:rsidRPr="00716193">
              <w:rPr>
                <w:bCs/>
                <w:sz w:val="24"/>
                <w:szCs w:val="24"/>
              </w:rPr>
              <w:t>5</w:t>
            </w:r>
            <w:r w:rsidRPr="00716193">
              <w:rPr>
                <w:bCs/>
                <w:sz w:val="24"/>
                <w:szCs w:val="24"/>
                <w:lang w:val="en-US"/>
              </w:rPr>
              <w:t>)</w:t>
            </w:r>
            <w:r w:rsidRPr="00716193">
              <w:rPr>
                <w:bCs/>
                <w:sz w:val="24"/>
                <w:szCs w:val="24"/>
              </w:rPr>
              <w:t>/</w:t>
            </w:r>
            <w:r w:rsidRPr="00716193">
              <w:rPr>
                <w:iCs/>
                <w:sz w:val="24"/>
                <w:szCs w:val="24"/>
              </w:rPr>
              <w:t xml:space="preserve"> 08.04.2015 г. – Констативен протокол с приложени два броя справки за сключените договори за отдаване под наем на активи, собственост </w:t>
            </w:r>
            <w:r w:rsidRPr="00716193">
              <w:rPr>
                <w:iCs/>
                <w:sz w:val="24"/>
                <w:szCs w:val="24"/>
              </w:rPr>
              <w:lastRenderedPageBreak/>
              <w:t xml:space="preserve">на </w:t>
            </w:r>
            <w:r w:rsidR="00DF1F75" w:rsidRPr="00716193">
              <w:rPr>
                <w:iCs/>
                <w:sz w:val="24"/>
                <w:szCs w:val="24"/>
              </w:rPr>
              <w:t>„</w:t>
            </w:r>
            <w:r w:rsidRPr="00716193">
              <w:rPr>
                <w:iCs/>
                <w:sz w:val="24"/>
                <w:szCs w:val="24"/>
              </w:rPr>
              <w:t>НСБ</w:t>
            </w:r>
            <w:r w:rsidR="00DF1F75" w:rsidRPr="00716193">
              <w:rPr>
                <w:iCs/>
                <w:sz w:val="24"/>
                <w:szCs w:val="24"/>
              </w:rPr>
              <w:t>“</w:t>
            </w:r>
            <w:r w:rsidRPr="00716193">
              <w:rPr>
                <w:iCs/>
                <w:sz w:val="24"/>
                <w:szCs w:val="24"/>
              </w:rPr>
              <w:t xml:space="preserve"> ЕАД за периода от 01.01.2013 г. до 31.12.2013 г., съответно от 01.01.2014 г. до 31.12.2014 г.</w:t>
            </w:r>
          </w:p>
        </w:tc>
        <w:tc>
          <w:tcPr>
            <w:tcW w:w="709" w:type="dxa"/>
          </w:tcPr>
          <w:p w:rsidR="00007ED9" w:rsidRPr="00716193" w:rsidRDefault="00F41837" w:rsidP="00716193">
            <w:pPr>
              <w:ind w:left="-82"/>
              <w:jc w:val="center"/>
            </w:pPr>
            <w:r w:rsidRPr="00716193">
              <w:lastRenderedPageBreak/>
              <w:t>15</w:t>
            </w:r>
          </w:p>
        </w:tc>
      </w:tr>
      <w:tr w:rsidR="00007ED9" w:rsidRPr="00716193" w:rsidTr="00716193">
        <w:tc>
          <w:tcPr>
            <w:tcW w:w="683" w:type="dxa"/>
            <w:gridSpan w:val="2"/>
          </w:tcPr>
          <w:p w:rsidR="00007ED9" w:rsidRPr="009909AE" w:rsidRDefault="00F41837" w:rsidP="00716193">
            <w:pPr>
              <w:ind w:right="-102"/>
              <w:jc w:val="center"/>
              <w:rPr>
                <w:bCs/>
              </w:rPr>
            </w:pPr>
            <w:r w:rsidRPr="009909AE">
              <w:rPr>
                <w:bCs/>
              </w:rPr>
              <w:lastRenderedPageBreak/>
              <w:t>48</w:t>
            </w:r>
          </w:p>
        </w:tc>
        <w:tc>
          <w:tcPr>
            <w:tcW w:w="8214" w:type="dxa"/>
          </w:tcPr>
          <w:p w:rsidR="00007ED9" w:rsidRPr="00716193" w:rsidRDefault="00F41837" w:rsidP="00716193">
            <w:pPr>
              <w:tabs>
                <w:tab w:val="left" w:pos="5728"/>
              </w:tabs>
              <w:ind w:left="-114" w:right="-80"/>
              <w:jc w:val="both"/>
            </w:pPr>
            <w:r w:rsidRPr="00716193">
              <w:rPr>
                <w:bCs/>
              </w:rPr>
              <w:t>Правилник на „Национална спортна база“ ЕАД за условията и реда за отдаване под наем на дълготрайни активи, приети с решение на СД, отразено в Протокол № 135 от 24.02.2006 г.</w:t>
            </w:r>
          </w:p>
        </w:tc>
        <w:tc>
          <w:tcPr>
            <w:tcW w:w="709" w:type="dxa"/>
          </w:tcPr>
          <w:p w:rsidR="00007ED9" w:rsidRPr="00716193" w:rsidRDefault="00F41837" w:rsidP="00716193">
            <w:pPr>
              <w:ind w:left="-82"/>
              <w:jc w:val="center"/>
            </w:pPr>
            <w:r w:rsidRPr="00716193">
              <w:t>6</w:t>
            </w:r>
          </w:p>
        </w:tc>
      </w:tr>
      <w:tr w:rsidR="00007ED9" w:rsidRPr="00716193" w:rsidTr="00716193">
        <w:tc>
          <w:tcPr>
            <w:tcW w:w="683" w:type="dxa"/>
            <w:gridSpan w:val="2"/>
          </w:tcPr>
          <w:p w:rsidR="00007ED9" w:rsidRPr="009909AE" w:rsidRDefault="00F41837" w:rsidP="00716193">
            <w:pPr>
              <w:ind w:right="-102"/>
              <w:jc w:val="center"/>
              <w:rPr>
                <w:bCs/>
              </w:rPr>
            </w:pPr>
            <w:r w:rsidRPr="009909AE">
              <w:rPr>
                <w:bCs/>
              </w:rPr>
              <w:t>49</w:t>
            </w:r>
          </w:p>
        </w:tc>
        <w:tc>
          <w:tcPr>
            <w:tcW w:w="8214" w:type="dxa"/>
          </w:tcPr>
          <w:p w:rsidR="00007ED9" w:rsidRPr="00716193" w:rsidRDefault="00472B7D" w:rsidP="00716193">
            <w:pPr>
              <w:pStyle w:val="FootnoteText"/>
              <w:tabs>
                <w:tab w:val="left" w:pos="5728"/>
              </w:tabs>
              <w:ind w:left="-114" w:right="-80"/>
              <w:jc w:val="both"/>
            </w:pPr>
            <w:r w:rsidRPr="00716193">
              <w:rPr>
                <w:bCs/>
                <w:sz w:val="24"/>
                <w:szCs w:val="24"/>
              </w:rPr>
              <w:t>Система за правилата и реда за отдаване под наем на дълготрайни активи и/или движими вещи, собственост на „Национална спортна база“ ЕАД, утвърдена от изпълнителния директор със Заповед № 13-002052-1/ 19.08.2013 г., в сила от 20.08.2013 г.</w:t>
            </w:r>
          </w:p>
        </w:tc>
        <w:tc>
          <w:tcPr>
            <w:tcW w:w="709" w:type="dxa"/>
          </w:tcPr>
          <w:p w:rsidR="00007ED9" w:rsidRPr="00716193" w:rsidRDefault="00472B7D" w:rsidP="00716193">
            <w:pPr>
              <w:ind w:left="-82"/>
              <w:jc w:val="center"/>
            </w:pPr>
            <w:r w:rsidRPr="00716193">
              <w:t>38</w:t>
            </w:r>
          </w:p>
        </w:tc>
      </w:tr>
      <w:tr w:rsidR="00F41837" w:rsidRPr="00716193" w:rsidTr="00716193">
        <w:tc>
          <w:tcPr>
            <w:tcW w:w="683" w:type="dxa"/>
            <w:gridSpan w:val="2"/>
          </w:tcPr>
          <w:p w:rsidR="00F41837" w:rsidRPr="009909AE" w:rsidRDefault="00BB0ED5" w:rsidP="00716193">
            <w:pPr>
              <w:ind w:right="-102"/>
              <w:jc w:val="center"/>
              <w:rPr>
                <w:bCs/>
              </w:rPr>
            </w:pPr>
            <w:r w:rsidRPr="009909AE">
              <w:rPr>
                <w:bCs/>
              </w:rPr>
              <w:t>50</w:t>
            </w:r>
          </w:p>
        </w:tc>
        <w:tc>
          <w:tcPr>
            <w:tcW w:w="8214" w:type="dxa"/>
          </w:tcPr>
          <w:p w:rsidR="00F41837" w:rsidRPr="00716193" w:rsidRDefault="00BB0ED5" w:rsidP="00716193">
            <w:pPr>
              <w:tabs>
                <w:tab w:val="left" w:pos="5728"/>
              </w:tabs>
              <w:ind w:left="-114" w:right="-80"/>
              <w:jc w:val="both"/>
            </w:pPr>
            <w:r w:rsidRPr="00716193">
              <w:rPr>
                <w:bCs/>
              </w:rPr>
              <w:t>В</w:t>
            </w:r>
            <w:r w:rsidRPr="00716193">
              <w:t xml:space="preserve">ътрешни правила за организация на работната заплата в „Национална спортна база“ ЕАД, </w:t>
            </w:r>
            <w:r w:rsidRPr="00716193">
              <w:rPr>
                <w:bCs/>
              </w:rPr>
              <w:t>утвърдена от изпълнителния директор със Заповед № 13-002053-1/ 19.08.2013 г., в сила от 20.08.2013 г.</w:t>
            </w:r>
          </w:p>
        </w:tc>
        <w:tc>
          <w:tcPr>
            <w:tcW w:w="709" w:type="dxa"/>
          </w:tcPr>
          <w:p w:rsidR="00F41837" w:rsidRPr="00716193" w:rsidRDefault="00BB0ED5" w:rsidP="00716193">
            <w:pPr>
              <w:ind w:left="-82"/>
              <w:jc w:val="center"/>
            </w:pPr>
            <w:r w:rsidRPr="00716193">
              <w:t>13</w:t>
            </w:r>
          </w:p>
        </w:tc>
      </w:tr>
      <w:tr w:rsidR="00007ED9" w:rsidRPr="00716193" w:rsidTr="00716193">
        <w:tc>
          <w:tcPr>
            <w:tcW w:w="683" w:type="dxa"/>
            <w:gridSpan w:val="2"/>
          </w:tcPr>
          <w:p w:rsidR="00007ED9" w:rsidRPr="009909AE" w:rsidRDefault="005606F8" w:rsidP="00716193">
            <w:pPr>
              <w:ind w:right="-102"/>
              <w:jc w:val="center"/>
              <w:rPr>
                <w:bCs/>
              </w:rPr>
            </w:pPr>
            <w:r w:rsidRPr="009909AE">
              <w:rPr>
                <w:bCs/>
              </w:rPr>
              <w:t>51</w:t>
            </w:r>
          </w:p>
        </w:tc>
        <w:tc>
          <w:tcPr>
            <w:tcW w:w="8214" w:type="dxa"/>
          </w:tcPr>
          <w:p w:rsidR="00FF1A18" w:rsidRPr="00716193" w:rsidRDefault="00FF1A18" w:rsidP="00716193">
            <w:pPr>
              <w:pStyle w:val="FootnoteText"/>
              <w:tabs>
                <w:tab w:val="left" w:pos="5728"/>
              </w:tabs>
              <w:ind w:left="-114" w:right="-80"/>
              <w:jc w:val="both"/>
              <w:rPr>
                <w:sz w:val="24"/>
                <w:szCs w:val="24"/>
              </w:rPr>
            </w:pPr>
            <w:r w:rsidRPr="00716193">
              <w:rPr>
                <w:sz w:val="24"/>
                <w:szCs w:val="24"/>
              </w:rPr>
              <w:t>РД-И-1.34-2</w:t>
            </w:r>
            <w:r w:rsidRPr="00716193">
              <w:rPr>
                <w:sz w:val="24"/>
                <w:szCs w:val="24"/>
                <w:lang w:val="en-US"/>
              </w:rPr>
              <w:t>(43)</w:t>
            </w:r>
            <w:r w:rsidRPr="00716193">
              <w:rPr>
                <w:sz w:val="24"/>
                <w:szCs w:val="24"/>
              </w:rPr>
              <w:t>/15.07.2015 г. – Констативен протокол</w:t>
            </w:r>
          </w:p>
          <w:p w:rsidR="00007ED9" w:rsidRPr="00716193" w:rsidRDefault="00007ED9" w:rsidP="00716193">
            <w:pPr>
              <w:tabs>
                <w:tab w:val="left" w:pos="5728"/>
              </w:tabs>
              <w:ind w:left="-114" w:right="-80"/>
              <w:jc w:val="both"/>
            </w:pPr>
          </w:p>
        </w:tc>
        <w:tc>
          <w:tcPr>
            <w:tcW w:w="709" w:type="dxa"/>
          </w:tcPr>
          <w:p w:rsidR="00007ED9" w:rsidRPr="00716193" w:rsidRDefault="00FF1A18" w:rsidP="00716193">
            <w:pPr>
              <w:ind w:left="-82"/>
              <w:jc w:val="center"/>
            </w:pPr>
            <w:r w:rsidRPr="00716193">
              <w:t>5</w:t>
            </w:r>
          </w:p>
        </w:tc>
      </w:tr>
      <w:tr w:rsidR="005606F8" w:rsidRPr="00716193" w:rsidTr="00716193">
        <w:tc>
          <w:tcPr>
            <w:tcW w:w="683" w:type="dxa"/>
            <w:gridSpan w:val="2"/>
          </w:tcPr>
          <w:p w:rsidR="005606F8" w:rsidRPr="009909AE" w:rsidRDefault="009F3472" w:rsidP="00716193">
            <w:pPr>
              <w:ind w:right="-102"/>
              <w:jc w:val="center"/>
              <w:rPr>
                <w:bCs/>
              </w:rPr>
            </w:pPr>
            <w:r w:rsidRPr="009909AE">
              <w:rPr>
                <w:bCs/>
              </w:rPr>
              <w:t>52</w:t>
            </w:r>
          </w:p>
        </w:tc>
        <w:tc>
          <w:tcPr>
            <w:tcW w:w="8214" w:type="dxa"/>
          </w:tcPr>
          <w:p w:rsidR="005606F8" w:rsidRPr="00716193" w:rsidRDefault="009F3472" w:rsidP="00716193">
            <w:pPr>
              <w:tabs>
                <w:tab w:val="left" w:pos="5728"/>
              </w:tabs>
              <w:ind w:left="-114" w:right="-80"/>
              <w:jc w:val="both"/>
            </w:pPr>
            <w:r w:rsidRPr="00716193">
              <w:t>РД-И-1.34-2</w:t>
            </w:r>
            <w:r w:rsidRPr="00716193">
              <w:rPr>
                <w:lang w:val="en-US"/>
              </w:rPr>
              <w:t>(20)</w:t>
            </w:r>
            <w:r w:rsidRPr="00716193">
              <w:t>/15.07.2015 г. – Констативен протокол</w:t>
            </w:r>
          </w:p>
        </w:tc>
        <w:tc>
          <w:tcPr>
            <w:tcW w:w="709" w:type="dxa"/>
          </w:tcPr>
          <w:p w:rsidR="005606F8" w:rsidRPr="00716193" w:rsidRDefault="009F3472" w:rsidP="00716193">
            <w:pPr>
              <w:ind w:left="-82"/>
              <w:jc w:val="center"/>
            </w:pPr>
            <w:r w:rsidRPr="00716193">
              <w:t>3</w:t>
            </w:r>
            <w:r w:rsidR="008F7DAF" w:rsidRPr="00716193">
              <w:t>3</w:t>
            </w:r>
          </w:p>
        </w:tc>
      </w:tr>
      <w:tr w:rsidR="006D0CE9" w:rsidRPr="00716193" w:rsidTr="00716193">
        <w:tc>
          <w:tcPr>
            <w:tcW w:w="683" w:type="dxa"/>
            <w:gridSpan w:val="2"/>
          </w:tcPr>
          <w:p w:rsidR="006D0CE9" w:rsidRPr="009909AE" w:rsidRDefault="006D0CE9" w:rsidP="00716193">
            <w:pPr>
              <w:ind w:right="-102"/>
              <w:jc w:val="center"/>
              <w:rPr>
                <w:bCs/>
              </w:rPr>
            </w:pPr>
            <w:r w:rsidRPr="009909AE">
              <w:rPr>
                <w:bCs/>
              </w:rPr>
              <w:t>53</w:t>
            </w:r>
          </w:p>
        </w:tc>
        <w:tc>
          <w:tcPr>
            <w:tcW w:w="8214" w:type="dxa"/>
          </w:tcPr>
          <w:p w:rsidR="006D0CE9" w:rsidRPr="00716193" w:rsidRDefault="006D0CE9" w:rsidP="00716193">
            <w:pPr>
              <w:tabs>
                <w:tab w:val="left" w:pos="5728"/>
              </w:tabs>
              <w:ind w:left="-114" w:right="-80"/>
              <w:jc w:val="both"/>
            </w:pPr>
            <w:r w:rsidRPr="00716193">
              <w:t>РД-И-1.34-2</w:t>
            </w:r>
            <w:r w:rsidRPr="00716193">
              <w:rPr>
                <w:lang w:val="en-US"/>
              </w:rPr>
              <w:t>(2</w:t>
            </w:r>
            <w:r w:rsidRPr="00716193">
              <w:t>3</w:t>
            </w:r>
            <w:r w:rsidRPr="00716193">
              <w:rPr>
                <w:lang w:val="en-US"/>
              </w:rPr>
              <w:t>)</w:t>
            </w:r>
            <w:r w:rsidRPr="00716193">
              <w:t>/22.06.2015 г. – Констативен протокол</w:t>
            </w:r>
          </w:p>
        </w:tc>
        <w:tc>
          <w:tcPr>
            <w:tcW w:w="709" w:type="dxa"/>
          </w:tcPr>
          <w:p w:rsidR="006D0CE9" w:rsidRPr="00716193" w:rsidRDefault="006D0CE9" w:rsidP="00716193">
            <w:pPr>
              <w:ind w:left="-82"/>
              <w:jc w:val="center"/>
            </w:pPr>
            <w:r w:rsidRPr="00716193">
              <w:t>1</w:t>
            </w:r>
            <w:r w:rsidR="008F7DAF" w:rsidRPr="00716193">
              <w:t>1</w:t>
            </w:r>
          </w:p>
        </w:tc>
      </w:tr>
      <w:tr w:rsidR="006D0CE9" w:rsidRPr="00716193" w:rsidTr="00716193">
        <w:tc>
          <w:tcPr>
            <w:tcW w:w="683" w:type="dxa"/>
            <w:gridSpan w:val="2"/>
          </w:tcPr>
          <w:p w:rsidR="006D0CE9" w:rsidRPr="009909AE" w:rsidRDefault="006D0CE9" w:rsidP="00716193">
            <w:pPr>
              <w:ind w:right="-102"/>
              <w:jc w:val="center"/>
              <w:rPr>
                <w:bCs/>
              </w:rPr>
            </w:pPr>
            <w:r w:rsidRPr="009909AE">
              <w:rPr>
                <w:bCs/>
              </w:rPr>
              <w:t>54</w:t>
            </w:r>
          </w:p>
        </w:tc>
        <w:tc>
          <w:tcPr>
            <w:tcW w:w="8214" w:type="dxa"/>
          </w:tcPr>
          <w:p w:rsidR="006D0CE9" w:rsidRPr="00716193" w:rsidRDefault="006D0CE9" w:rsidP="00716193">
            <w:pPr>
              <w:tabs>
                <w:tab w:val="left" w:pos="5728"/>
              </w:tabs>
              <w:ind w:left="-114" w:right="-80"/>
              <w:jc w:val="both"/>
            </w:pPr>
            <w:r w:rsidRPr="00716193">
              <w:t>РД-И-1.34-2</w:t>
            </w:r>
            <w:r w:rsidRPr="00716193">
              <w:rPr>
                <w:lang w:val="en-US"/>
              </w:rPr>
              <w:t>(2</w:t>
            </w:r>
            <w:r w:rsidRPr="00716193">
              <w:t>4</w:t>
            </w:r>
            <w:r w:rsidRPr="00716193">
              <w:rPr>
                <w:lang w:val="en-US"/>
              </w:rPr>
              <w:t>)</w:t>
            </w:r>
            <w:r w:rsidRPr="00716193">
              <w:t>/22.06.2015 г. – Констативен протокол</w:t>
            </w:r>
          </w:p>
        </w:tc>
        <w:tc>
          <w:tcPr>
            <w:tcW w:w="709" w:type="dxa"/>
          </w:tcPr>
          <w:p w:rsidR="006D0CE9" w:rsidRPr="00716193" w:rsidRDefault="006D0CE9" w:rsidP="00716193">
            <w:pPr>
              <w:ind w:left="-82"/>
              <w:jc w:val="center"/>
            </w:pPr>
            <w:r w:rsidRPr="00716193">
              <w:t>3</w:t>
            </w:r>
            <w:r w:rsidR="008F7DAF" w:rsidRPr="00716193">
              <w:t>3</w:t>
            </w:r>
          </w:p>
        </w:tc>
      </w:tr>
      <w:tr w:rsidR="006D0CE9" w:rsidRPr="00716193" w:rsidTr="00716193">
        <w:tc>
          <w:tcPr>
            <w:tcW w:w="683" w:type="dxa"/>
            <w:gridSpan w:val="2"/>
          </w:tcPr>
          <w:p w:rsidR="006D0CE9" w:rsidRPr="009909AE" w:rsidRDefault="006D0CE9" w:rsidP="00716193">
            <w:pPr>
              <w:ind w:right="-102"/>
              <w:jc w:val="center"/>
              <w:rPr>
                <w:bCs/>
              </w:rPr>
            </w:pPr>
            <w:r w:rsidRPr="009909AE">
              <w:rPr>
                <w:bCs/>
              </w:rPr>
              <w:t>55</w:t>
            </w:r>
          </w:p>
        </w:tc>
        <w:tc>
          <w:tcPr>
            <w:tcW w:w="8214" w:type="dxa"/>
          </w:tcPr>
          <w:p w:rsidR="006D0CE9" w:rsidRPr="00716193" w:rsidRDefault="006D0CE9" w:rsidP="00716193">
            <w:pPr>
              <w:tabs>
                <w:tab w:val="left" w:pos="5728"/>
              </w:tabs>
              <w:ind w:left="-114" w:right="-80"/>
              <w:jc w:val="both"/>
            </w:pPr>
            <w:r w:rsidRPr="00716193">
              <w:t>РД-И-1.34-2</w:t>
            </w:r>
            <w:r w:rsidRPr="00716193">
              <w:rPr>
                <w:lang w:val="en-US"/>
              </w:rPr>
              <w:t>(2</w:t>
            </w:r>
            <w:r w:rsidRPr="00716193">
              <w:t>5</w:t>
            </w:r>
            <w:r w:rsidRPr="00716193">
              <w:rPr>
                <w:lang w:val="en-US"/>
              </w:rPr>
              <w:t>)</w:t>
            </w:r>
            <w:r w:rsidRPr="00716193">
              <w:t>/22.06.2015 г. – Констативен протокол</w:t>
            </w:r>
          </w:p>
        </w:tc>
        <w:tc>
          <w:tcPr>
            <w:tcW w:w="709" w:type="dxa"/>
          </w:tcPr>
          <w:p w:rsidR="006D0CE9" w:rsidRPr="00716193" w:rsidRDefault="00901707" w:rsidP="00716193">
            <w:pPr>
              <w:ind w:left="-82"/>
              <w:jc w:val="center"/>
            </w:pPr>
            <w:r w:rsidRPr="00716193">
              <w:t>1</w:t>
            </w:r>
            <w:r w:rsidR="008F7DAF" w:rsidRPr="00716193">
              <w:t>3</w:t>
            </w:r>
          </w:p>
        </w:tc>
      </w:tr>
      <w:tr w:rsidR="00901707" w:rsidRPr="00716193" w:rsidTr="00716193">
        <w:tc>
          <w:tcPr>
            <w:tcW w:w="683" w:type="dxa"/>
            <w:gridSpan w:val="2"/>
          </w:tcPr>
          <w:p w:rsidR="00901707" w:rsidRPr="009909AE" w:rsidRDefault="00901707" w:rsidP="00716193">
            <w:pPr>
              <w:ind w:right="-102"/>
              <w:jc w:val="center"/>
              <w:rPr>
                <w:bCs/>
              </w:rPr>
            </w:pPr>
            <w:r w:rsidRPr="009909AE">
              <w:rPr>
                <w:bCs/>
              </w:rPr>
              <w:t>56</w:t>
            </w:r>
          </w:p>
        </w:tc>
        <w:tc>
          <w:tcPr>
            <w:tcW w:w="8214" w:type="dxa"/>
          </w:tcPr>
          <w:p w:rsidR="00901707" w:rsidRPr="00716193" w:rsidRDefault="00901707" w:rsidP="00716193">
            <w:pPr>
              <w:tabs>
                <w:tab w:val="left" w:pos="5728"/>
              </w:tabs>
              <w:ind w:left="-114" w:right="-80"/>
              <w:jc w:val="both"/>
            </w:pPr>
            <w:r w:rsidRPr="00716193">
              <w:t>РД-И-1.34-2</w:t>
            </w:r>
            <w:r w:rsidRPr="00716193">
              <w:rPr>
                <w:lang w:val="en-US"/>
              </w:rPr>
              <w:t>(2</w:t>
            </w:r>
            <w:r w:rsidRPr="00716193">
              <w:t>6</w:t>
            </w:r>
            <w:r w:rsidRPr="00716193">
              <w:rPr>
                <w:lang w:val="en-US"/>
              </w:rPr>
              <w:t>)</w:t>
            </w:r>
            <w:r w:rsidRPr="00716193">
              <w:t>/22.06.2015 г. – Констативен протокол</w:t>
            </w:r>
          </w:p>
        </w:tc>
        <w:tc>
          <w:tcPr>
            <w:tcW w:w="709" w:type="dxa"/>
          </w:tcPr>
          <w:p w:rsidR="00901707" w:rsidRPr="00716193" w:rsidRDefault="00E83D9F" w:rsidP="00716193">
            <w:pPr>
              <w:ind w:left="-82"/>
              <w:jc w:val="center"/>
            </w:pPr>
            <w:r w:rsidRPr="00716193">
              <w:t>1</w:t>
            </w:r>
            <w:r w:rsidR="008F7DAF" w:rsidRPr="00716193">
              <w:t>7</w:t>
            </w:r>
          </w:p>
        </w:tc>
      </w:tr>
      <w:tr w:rsidR="00E83D9F" w:rsidRPr="00716193" w:rsidTr="00716193">
        <w:tc>
          <w:tcPr>
            <w:tcW w:w="683" w:type="dxa"/>
            <w:gridSpan w:val="2"/>
          </w:tcPr>
          <w:p w:rsidR="00E83D9F" w:rsidRPr="009909AE" w:rsidRDefault="00E83D9F" w:rsidP="00716193">
            <w:pPr>
              <w:ind w:right="-102"/>
              <w:jc w:val="center"/>
              <w:rPr>
                <w:bCs/>
              </w:rPr>
            </w:pPr>
            <w:r w:rsidRPr="009909AE">
              <w:rPr>
                <w:bCs/>
              </w:rPr>
              <w:t>57</w:t>
            </w:r>
          </w:p>
        </w:tc>
        <w:tc>
          <w:tcPr>
            <w:tcW w:w="8214" w:type="dxa"/>
          </w:tcPr>
          <w:p w:rsidR="00E83D9F" w:rsidRPr="00716193" w:rsidRDefault="00E83D9F" w:rsidP="00716193">
            <w:pPr>
              <w:tabs>
                <w:tab w:val="left" w:pos="5728"/>
              </w:tabs>
              <w:ind w:left="-114" w:right="-80"/>
              <w:jc w:val="both"/>
            </w:pPr>
            <w:r w:rsidRPr="00716193">
              <w:t>РД-И-1.34-2</w:t>
            </w:r>
            <w:r w:rsidRPr="00716193">
              <w:rPr>
                <w:lang w:val="en-US"/>
              </w:rPr>
              <w:t>(</w:t>
            </w:r>
            <w:r w:rsidRPr="00716193">
              <w:t>32</w:t>
            </w:r>
            <w:r w:rsidRPr="00716193">
              <w:rPr>
                <w:lang w:val="en-US"/>
              </w:rPr>
              <w:t>)</w:t>
            </w:r>
            <w:r w:rsidRPr="00716193">
              <w:t>/15.07.2015 г. – Констативен протокол</w:t>
            </w:r>
          </w:p>
        </w:tc>
        <w:tc>
          <w:tcPr>
            <w:tcW w:w="709" w:type="dxa"/>
          </w:tcPr>
          <w:p w:rsidR="00E83D9F" w:rsidRPr="00716193" w:rsidRDefault="008F7DAF" w:rsidP="00716193">
            <w:pPr>
              <w:ind w:left="-82"/>
              <w:jc w:val="center"/>
            </w:pPr>
            <w:r w:rsidRPr="00716193">
              <w:t>1</w:t>
            </w:r>
            <w:r w:rsidR="006E211C" w:rsidRPr="00716193">
              <w:t>8</w:t>
            </w:r>
          </w:p>
        </w:tc>
      </w:tr>
      <w:tr w:rsidR="008F7DAF" w:rsidRPr="00716193" w:rsidTr="00716193">
        <w:tc>
          <w:tcPr>
            <w:tcW w:w="683" w:type="dxa"/>
            <w:gridSpan w:val="2"/>
          </w:tcPr>
          <w:p w:rsidR="008F7DAF" w:rsidRPr="009909AE" w:rsidRDefault="008F7DAF" w:rsidP="00716193">
            <w:pPr>
              <w:ind w:right="-102"/>
              <w:jc w:val="center"/>
              <w:rPr>
                <w:bCs/>
              </w:rPr>
            </w:pPr>
            <w:r w:rsidRPr="009909AE">
              <w:rPr>
                <w:bCs/>
              </w:rPr>
              <w:t>58</w:t>
            </w:r>
          </w:p>
        </w:tc>
        <w:tc>
          <w:tcPr>
            <w:tcW w:w="8214" w:type="dxa"/>
          </w:tcPr>
          <w:p w:rsidR="008F7DAF" w:rsidRPr="00716193" w:rsidRDefault="008F7DAF" w:rsidP="00716193">
            <w:pPr>
              <w:tabs>
                <w:tab w:val="left" w:pos="5728"/>
              </w:tabs>
              <w:ind w:left="-114" w:right="-80"/>
              <w:jc w:val="both"/>
            </w:pPr>
            <w:r w:rsidRPr="00716193">
              <w:t>РД-И-1.34-2</w:t>
            </w:r>
            <w:r w:rsidRPr="00716193">
              <w:rPr>
                <w:lang w:val="en-US"/>
              </w:rPr>
              <w:t>(</w:t>
            </w:r>
            <w:r w:rsidRPr="00716193">
              <w:t>33</w:t>
            </w:r>
            <w:r w:rsidRPr="00716193">
              <w:rPr>
                <w:lang w:val="en-US"/>
              </w:rPr>
              <w:t>)</w:t>
            </w:r>
            <w:r w:rsidRPr="00716193">
              <w:t>/15.07.2015 г. – Констативен протокол</w:t>
            </w:r>
          </w:p>
        </w:tc>
        <w:tc>
          <w:tcPr>
            <w:tcW w:w="709" w:type="dxa"/>
          </w:tcPr>
          <w:p w:rsidR="008F7DAF" w:rsidRPr="00716193" w:rsidRDefault="00702AF0" w:rsidP="00716193">
            <w:pPr>
              <w:ind w:left="-82"/>
              <w:jc w:val="center"/>
            </w:pPr>
            <w:r w:rsidRPr="00716193">
              <w:t>32</w:t>
            </w:r>
          </w:p>
        </w:tc>
      </w:tr>
      <w:tr w:rsidR="00D60C84" w:rsidRPr="00716193" w:rsidTr="00716193">
        <w:tc>
          <w:tcPr>
            <w:tcW w:w="683" w:type="dxa"/>
            <w:gridSpan w:val="2"/>
          </w:tcPr>
          <w:p w:rsidR="00D60C84" w:rsidRPr="009909AE" w:rsidRDefault="00D60C84" w:rsidP="00716193">
            <w:pPr>
              <w:ind w:right="-102"/>
              <w:jc w:val="center"/>
              <w:rPr>
                <w:bCs/>
              </w:rPr>
            </w:pPr>
            <w:r w:rsidRPr="009909AE">
              <w:rPr>
                <w:bCs/>
              </w:rPr>
              <w:t>59</w:t>
            </w:r>
          </w:p>
        </w:tc>
        <w:tc>
          <w:tcPr>
            <w:tcW w:w="8214" w:type="dxa"/>
          </w:tcPr>
          <w:p w:rsidR="00D60C84" w:rsidRPr="00716193" w:rsidRDefault="00D60C84" w:rsidP="00716193">
            <w:pPr>
              <w:tabs>
                <w:tab w:val="left" w:pos="5728"/>
              </w:tabs>
              <w:ind w:left="-114" w:right="-80"/>
              <w:jc w:val="both"/>
            </w:pPr>
            <w:r w:rsidRPr="00716193">
              <w:t>РД-И-1.34-2</w:t>
            </w:r>
            <w:r w:rsidRPr="00716193">
              <w:rPr>
                <w:lang w:val="en-US"/>
              </w:rPr>
              <w:t>(</w:t>
            </w:r>
            <w:r w:rsidRPr="00716193">
              <w:t>34</w:t>
            </w:r>
            <w:r w:rsidRPr="00716193">
              <w:rPr>
                <w:lang w:val="en-US"/>
              </w:rPr>
              <w:t>)</w:t>
            </w:r>
            <w:r w:rsidRPr="00716193">
              <w:t>/15.07.2015 г. – Констативен протокол</w:t>
            </w:r>
          </w:p>
        </w:tc>
        <w:tc>
          <w:tcPr>
            <w:tcW w:w="709" w:type="dxa"/>
          </w:tcPr>
          <w:p w:rsidR="00D60C84" w:rsidRPr="00716193" w:rsidRDefault="00D60C84" w:rsidP="00716193">
            <w:pPr>
              <w:ind w:left="-82"/>
              <w:jc w:val="center"/>
            </w:pPr>
            <w:r w:rsidRPr="00716193">
              <w:t>32</w:t>
            </w:r>
          </w:p>
        </w:tc>
      </w:tr>
      <w:tr w:rsidR="00D60C84" w:rsidRPr="00716193" w:rsidTr="00716193">
        <w:tc>
          <w:tcPr>
            <w:tcW w:w="683" w:type="dxa"/>
            <w:gridSpan w:val="2"/>
          </w:tcPr>
          <w:p w:rsidR="00D60C84" w:rsidRPr="009909AE" w:rsidRDefault="00D60C84" w:rsidP="00716193">
            <w:pPr>
              <w:ind w:right="-102"/>
              <w:jc w:val="center"/>
              <w:rPr>
                <w:bCs/>
              </w:rPr>
            </w:pPr>
            <w:r w:rsidRPr="009909AE">
              <w:rPr>
                <w:bCs/>
              </w:rPr>
              <w:t>60</w:t>
            </w:r>
          </w:p>
        </w:tc>
        <w:tc>
          <w:tcPr>
            <w:tcW w:w="8214" w:type="dxa"/>
          </w:tcPr>
          <w:p w:rsidR="00D60C84" w:rsidRPr="00716193" w:rsidRDefault="00D60C84" w:rsidP="00716193">
            <w:pPr>
              <w:tabs>
                <w:tab w:val="left" w:pos="5728"/>
              </w:tabs>
              <w:ind w:left="-114" w:right="-80"/>
              <w:jc w:val="both"/>
            </w:pPr>
            <w:r w:rsidRPr="00716193">
              <w:t>РД-И-1.34-2</w:t>
            </w:r>
            <w:r w:rsidRPr="00716193">
              <w:rPr>
                <w:lang w:val="en-US"/>
              </w:rPr>
              <w:t>(</w:t>
            </w:r>
            <w:r w:rsidRPr="00716193">
              <w:t>35</w:t>
            </w:r>
            <w:r w:rsidRPr="00716193">
              <w:rPr>
                <w:lang w:val="en-US"/>
              </w:rPr>
              <w:t>)</w:t>
            </w:r>
            <w:r w:rsidRPr="00716193">
              <w:t>/15.07.2015 г. – Констативен протокол</w:t>
            </w:r>
          </w:p>
        </w:tc>
        <w:tc>
          <w:tcPr>
            <w:tcW w:w="709" w:type="dxa"/>
          </w:tcPr>
          <w:p w:rsidR="00D60C84" w:rsidRPr="00716193" w:rsidRDefault="00D60C84" w:rsidP="00716193">
            <w:pPr>
              <w:ind w:left="-82"/>
              <w:jc w:val="center"/>
            </w:pPr>
            <w:r w:rsidRPr="00716193">
              <w:t>35</w:t>
            </w:r>
          </w:p>
        </w:tc>
      </w:tr>
      <w:tr w:rsidR="00D60C84" w:rsidRPr="00716193" w:rsidTr="00716193">
        <w:tc>
          <w:tcPr>
            <w:tcW w:w="683" w:type="dxa"/>
            <w:gridSpan w:val="2"/>
          </w:tcPr>
          <w:p w:rsidR="00D60C84" w:rsidRPr="009909AE" w:rsidRDefault="00D60C84" w:rsidP="00716193">
            <w:pPr>
              <w:ind w:right="-102"/>
              <w:jc w:val="center"/>
              <w:rPr>
                <w:bCs/>
              </w:rPr>
            </w:pPr>
            <w:r w:rsidRPr="009909AE">
              <w:rPr>
                <w:bCs/>
              </w:rPr>
              <w:t>61</w:t>
            </w:r>
          </w:p>
        </w:tc>
        <w:tc>
          <w:tcPr>
            <w:tcW w:w="8214" w:type="dxa"/>
          </w:tcPr>
          <w:p w:rsidR="00D60C84" w:rsidRPr="00716193" w:rsidRDefault="00D60C84" w:rsidP="00716193">
            <w:pPr>
              <w:tabs>
                <w:tab w:val="left" w:pos="5728"/>
              </w:tabs>
              <w:ind w:left="-114" w:right="-80"/>
              <w:jc w:val="both"/>
            </w:pPr>
            <w:r w:rsidRPr="00716193">
              <w:t>РД-И-1.34-2</w:t>
            </w:r>
            <w:r w:rsidRPr="00716193">
              <w:rPr>
                <w:lang w:val="en-US"/>
              </w:rPr>
              <w:t>(</w:t>
            </w:r>
            <w:r w:rsidR="001E35FB" w:rsidRPr="00716193">
              <w:t>36</w:t>
            </w:r>
            <w:r w:rsidRPr="00716193">
              <w:rPr>
                <w:lang w:val="en-US"/>
              </w:rPr>
              <w:t>)</w:t>
            </w:r>
            <w:r w:rsidRPr="00716193">
              <w:t>/</w:t>
            </w:r>
            <w:r w:rsidR="001E35FB" w:rsidRPr="00716193">
              <w:t>15</w:t>
            </w:r>
            <w:r w:rsidRPr="00716193">
              <w:t>.0</w:t>
            </w:r>
            <w:r w:rsidR="001E35FB" w:rsidRPr="00716193">
              <w:t>7</w:t>
            </w:r>
            <w:r w:rsidRPr="00716193">
              <w:t>.2015 г. – Констативен протокол</w:t>
            </w:r>
          </w:p>
        </w:tc>
        <w:tc>
          <w:tcPr>
            <w:tcW w:w="709" w:type="dxa"/>
          </w:tcPr>
          <w:p w:rsidR="00D60C84" w:rsidRPr="00716193" w:rsidRDefault="00CF5175" w:rsidP="00716193">
            <w:pPr>
              <w:ind w:left="-82"/>
              <w:jc w:val="center"/>
            </w:pPr>
            <w:r w:rsidRPr="00716193">
              <w:t>33</w:t>
            </w:r>
          </w:p>
        </w:tc>
      </w:tr>
      <w:tr w:rsidR="001E35FB" w:rsidRPr="00716193" w:rsidTr="00716193">
        <w:tc>
          <w:tcPr>
            <w:tcW w:w="683" w:type="dxa"/>
            <w:gridSpan w:val="2"/>
          </w:tcPr>
          <w:p w:rsidR="001E35FB" w:rsidRPr="009909AE" w:rsidRDefault="001E35FB" w:rsidP="00716193">
            <w:pPr>
              <w:ind w:right="-102"/>
              <w:jc w:val="center"/>
              <w:rPr>
                <w:bCs/>
              </w:rPr>
            </w:pPr>
            <w:r w:rsidRPr="009909AE">
              <w:rPr>
                <w:bCs/>
              </w:rPr>
              <w:t>62</w:t>
            </w:r>
          </w:p>
        </w:tc>
        <w:tc>
          <w:tcPr>
            <w:tcW w:w="8214" w:type="dxa"/>
          </w:tcPr>
          <w:p w:rsidR="001E35FB" w:rsidRPr="00716193" w:rsidRDefault="001E35FB" w:rsidP="00716193">
            <w:pPr>
              <w:tabs>
                <w:tab w:val="left" w:pos="5728"/>
              </w:tabs>
              <w:ind w:left="-114" w:right="-80"/>
              <w:jc w:val="both"/>
            </w:pPr>
            <w:r w:rsidRPr="00716193">
              <w:t>РД-И-1.34-2</w:t>
            </w:r>
            <w:r w:rsidRPr="00716193">
              <w:rPr>
                <w:lang w:val="en-US"/>
              </w:rPr>
              <w:t>(</w:t>
            </w:r>
            <w:r w:rsidR="00CF5175" w:rsidRPr="00716193">
              <w:t>37</w:t>
            </w:r>
            <w:r w:rsidRPr="00716193">
              <w:rPr>
                <w:lang w:val="en-US"/>
              </w:rPr>
              <w:t>)</w:t>
            </w:r>
            <w:r w:rsidRPr="00716193">
              <w:t>/</w:t>
            </w:r>
            <w:r w:rsidR="00CF5175" w:rsidRPr="00716193">
              <w:t>15</w:t>
            </w:r>
            <w:r w:rsidRPr="00716193">
              <w:t>.0</w:t>
            </w:r>
            <w:r w:rsidR="00CF5175" w:rsidRPr="00716193">
              <w:t>7</w:t>
            </w:r>
            <w:r w:rsidRPr="00716193">
              <w:t>.2015 г. – Констативен протокол</w:t>
            </w:r>
          </w:p>
        </w:tc>
        <w:tc>
          <w:tcPr>
            <w:tcW w:w="709" w:type="dxa"/>
          </w:tcPr>
          <w:p w:rsidR="001E35FB" w:rsidRPr="00716193" w:rsidRDefault="00CF5175" w:rsidP="00716193">
            <w:pPr>
              <w:ind w:left="-82"/>
              <w:jc w:val="center"/>
            </w:pPr>
            <w:r w:rsidRPr="00716193">
              <w:t>33</w:t>
            </w:r>
          </w:p>
        </w:tc>
      </w:tr>
      <w:tr w:rsidR="00CF5175" w:rsidRPr="00716193" w:rsidTr="00716193">
        <w:tc>
          <w:tcPr>
            <w:tcW w:w="683" w:type="dxa"/>
            <w:gridSpan w:val="2"/>
          </w:tcPr>
          <w:p w:rsidR="00CF5175" w:rsidRPr="009909AE" w:rsidRDefault="00CF5175" w:rsidP="00716193">
            <w:pPr>
              <w:ind w:right="-102"/>
              <w:jc w:val="center"/>
              <w:rPr>
                <w:bCs/>
              </w:rPr>
            </w:pPr>
            <w:r w:rsidRPr="009909AE">
              <w:rPr>
                <w:bCs/>
              </w:rPr>
              <w:t>63</w:t>
            </w:r>
          </w:p>
        </w:tc>
        <w:tc>
          <w:tcPr>
            <w:tcW w:w="8214" w:type="dxa"/>
          </w:tcPr>
          <w:p w:rsidR="00CF5175" w:rsidRPr="00716193" w:rsidRDefault="00CF5175" w:rsidP="00716193">
            <w:pPr>
              <w:tabs>
                <w:tab w:val="left" w:pos="5728"/>
              </w:tabs>
              <w:ind w:left="-114" w:right="-80"/>
              <w:jc w:val="both"/>
            </w:pPr>
            <w:r w:rsidRPr="00716193">
              <w:t>РД-И-1.34-2</w:t>
            </w:r>
            <w:r w:rsidRPr="00716193">
              <w:rPr>
                <w:lang w:val="en-US"/>
              </w:rPr>
              <w:t>(</w:t>
            </w:r>
            <w:r w:rsidRPr="00716193">
              <w:t>38</w:t>
            </w:r>
            <w:r w:rsidRPr="00716193">
              <w:rPr>
                <w:lang w:val="en-US"/>
              </w:rPr>
              <w:t>)</w:t>
            </w:r>
            <w:r w:rsidRPr="00716193">
              <w:t>/15.07.2015 г. – Констативен протокол</w:t>
            </w:r>
          </w:p>
        </w:tc>
        <w:tc>
          <w:tcPr>
            <w:tcW w:w="709" w:type="dxa"/>
          </w:tcPr>
          <w:p w:rsidR="00CF5175" w:rsidRPr="00716193" w:rsidRDefault="00CF5175" w:rsidP="00716193">
            <w:pPr>
              <w:ind w:left="-82"/>
              <w:jc w:val="center"/>
            </w:pPr>
            <w:r w:rsidRPr="00716193">
              <w:t>32</w:t>
            </w:r>
          </w:p>
        </w:tc>
      </w:tr>
      <w:tr w:rsidR="00CF5175" w:rsidRPr="00716193" w:rsidTr="00716193">
        <w:tc>
          <w:tcPr>
            <w:tcW w:w="683" w:type="dxa"/>
            <w:gridSpan w:val="2"/>
          </w:tcPr>
          <w:p w:rsidR="00CF5175" w:rsidRPr="009909AE" w:rsidRDefault="00CF5175" w:rsidP="00716193">
            <w:pPr>
              <w:ind w:right="-102"/>
              <w:jc w:val="center"/>
              <w:rPr>
                <w:bCs/>
              </w:rPr>
            </w:pPr>
            <w:r w:rsidRPr="009909AE">
              <w:rPr>
                <w:bCs/>
              </w:rPr>
              <w:t>64</w:t>
            </w:r>
          </w:p>
        </w:tc>
        <w:tc>
          <w:tcPr>
            <w:tcW w:w="8214" w:type="dxa"/>
          </w:tcPr>
          <w:p w:rsidR="00CF5175" w:rsidRPr="00716193" w:rsidRDefault="00CF5175" w:rsidP="00716193">
            <w:pPr>
              <w:tabs>
                <w:tab w:val="left" w:pos="5728"/>
              </w:tabs>
              <w:ind w:left="-114" w:right="-80"/>
              <w:jc w:val="both"/>
            </w:pPr>
            <w:r w:rsidRPr="00716193">
              <w:t>РД-И-1.34-2</w:t>
            </w:r>
            <w:r w:rsidRPr="00716193">
              <w:rPr>
                <w:lang w:val="en-US"/>
              </w:rPr>
              <w:t>(</w:t>
            </w:r>
            <w:r w:rsidRPr="00716193">
              <w:t>39</w:t>
            </w:r>
            <w:r w:rsidRPr="00716193">
              <w:rPr>
                <w:lang w:val="en-US"/>
              </w:rPr>
              <w:t>)</w:t>
            </w:r>
            <w:r w:rsidRPr="00716193">
              <w:t>/15.07.2015 г. – Констативен протокол</w:t>
            </w:r>
          </w:p>
        </w:tc>
        <w:tc>
          <w:tcPr>
            <w:tcW w:w="709" w:type="dxa"/>
          </w:tcPr>
          <w:p w:rsidR="00CF5175" w:rsidRPr="00716193" w:rsidRDefault="00B33B65" w:rsidP="00716193">
            <w:pPr>
              <w:ind w:left="-82"/>
              <w:jc w:val="center"/>
            </w:pPr>
            <w:r w:rsidRPr="00716193">
              <w:t>22</w:t>
            </w:r>
          </w:p>
        </w:tc>
      </w:tr>
      <w:tr w:rsidR="00B33B65" w:rsidRPr="00716193" w:rsidTr="00716193">
        <w:tc>
          <w:tcPr>
            <w:tcW w:w="683" w:type="dxa"/>
            <w:gridSpan w:val="2"/>
          </w:tcPr>
          <w:p w:rsidR="00B33B65" w:rsidRPr="009909AE" w:rsidRDefault="00B33B65" w:rsidP="00716193">
            <w:pPr>
              <w:ind w:right="-102"/>
              <w:jc w:val="center"/>
              <w:rPr>
                <w:bCs/>
              </w:rPr>
            </w:pPr>
            <w:r w:rsidRPr="009909AE">
              <w:rPr>
                <w:bCs/>
              </w:rPr>
              <w:t>65</w:t>
            </w:r>
          </w:p>
        </w:tc>
        <w:tc>
          <w:tcPr>
            <w:tcW w:w="8214" w:type="dxa"/>
          </w:tcPr>
          <w:p w:rsidR="00B33B65" w:rsidRPr="00716193" w:rsidRDefault="00B33B65" w:rsidP="00716193">
            <w:pPr>
              <w:tabs>
                <w:tab w:val="left" w:pos="5728"/>
              </w:tabs>
              <w:ind w:left="-114" w:right="-80"/>
              <w:jc w:val="both"/>
            </w:pPr>
            <w:r w:rsidRPr="00716193">
              <w:t>РД-И-1.34-2</w:t>
            </w:r>
            <w:r w:rsidRPr="00716193">
              <w:rPr>
                <w:lang w:val="en-US"/>
              </w:rPr>
              <w:t>(</w:t>
            </w:r>
            <w:r w:rsidRPr="00716193">
              <w:t>40</w:t>
            </w:r>
            <w:r w:rsidRPr="00716193">
              <w:rPr>
                <w:lang w:val="en-US"/>
              </w:rPr>
              <w:t>)</w:t>
            </w:r>
            <w:r w:rsidRPr="00716193">
              <w:t>/15.07.2015 г. – Констативен протокол</w:t>
            </w:r>
          </w:p>
        </w:tc>
        <w:tc>
          <w:tcPr>
            <w:tcW w:w="709" w:type="dxa"/>
          </w:tcPr>
          <w:p w:rsidR="00B33B65" w:rsidRPr="00716193" w:rsidRDefault="00B33B65" w:rsidP="00716193">
            <w:pPr>
              <w:ind w:left="-82"/>
              <w:jc w:val="center"/>
            </w:pPr>
            <w:r w:rsidRPr="00716193">
              <w:t>20</w:t>
            </w:r>
          </w:p>
        </w:tc>
      </w:tr>
      <w:tr w:rsidR="00682DB0" w:rsidRPr="00716193" w:rsidTr="00716193">
        <w:tc>
          <w:tcPr>
            <w:tcW w:w="683" w:type="dxa"/>
            <w:gridSpan w:val="2"/>
          </w:tcPr>
          <w:p w:rsidR="00682DB0" w:rsidRPr="009909AE" w:rsidRDefault="00682DB0" w:rsidP="00716193">
            <w:pPr>
              <w:ind w:right="-102"/>
              <w:jc w:val="center"/>
              <w:rPr>
                <w:bCs/>
              </w:rPr>
            </w:pPr>
            <w:r w:rsidRPr="009909AE">
              <w:rPr>
                <w:bCs/>
              </w:rPr>
              <w:t>66</w:t>
            </w:r>
          </w:p>
        </w:tc>
        <w:tc>
          <w:tcPr>
            <w:tcW w:w="8214" w:type="dxa"/>
          </w:tcPr>
          <w:p w:rsidR="00682DB0" w:rsidRPr="00716193" w:rsidRDefault="00682DB0" w:rsidP="00716193">
            <w:pPr>
              <w:tabs>
                <w:tab w:val="left" w:pos="5728"/>
              </w:tabs>
              <w:ind w:left="-114" w:right="-80"/>
              <w:jc w:val="both"/>
            </w:pPr>
            <w:r w:rsidRPr="00716193">
              <w:t>РД-И-1.34-2</w:t>
            </w:r>
            <w:r w:rsidRPr="00716193">
              <w:rPr>
                <w:lang w:val="en-US"/>
              </w:rPr>
              <w:t>(</w:t>
            </w:r>
            <w:r w:rsidRPr="00716193">
              <w:t>41</w:t>
            </w:r>
            <w:r w:rsidRPr="00716193">
              <w:rPr>
                <w:lang w:val="en-US"/>
              </w:rPr>
              <w:t>)</w:t>
            </w:r>
            <w:r w:rsidRPr="00716193">
              <w:t>/15.07.2015 г. – Констативен протокол</w:t>
            </w:r>
          </w:p>
        </w:tc>
        <w:tc>
          <w:tcPr>
            <w:tcW w:w="709" w:type="dxa"/>
          </w:tcPr>
          <w:p w:rsidR="00682DB0" w:rsidRPr="00716193" w:rsidRDefault="00F014DA" w:rsidP="00716193">
            <w:pPr>
              <w:ind w:left="-82"/>
              <w:jc w:val="center"/>
            </w:pPr>
            <w:r w:rsidRPr="00716193">
              <w:t>20</w:t>
            </w:r>
          </w:p>
        </w:tc>
      </w:tr>
      <w:tr w:rsidR="00F014DA" w:rsidRPr="00716193" w:rsidTr="00716193">
        <w:tc>
          <w:tcPr>
            <w:tcW w:w="683" w:type="dxa"/>
            <w:gridSpan w:val="2"/>
          </w:tcPr>
          <w:p w:rsidR="00F014DA" w:rsidRPr="009909AE" w:rsidRDefault="00F014DA" w:rsidP="00716193">
            <w:pPr>
              <w:ind w:right="-102"/>
              <w:jc w:val="center"/>
              <w:rPr>
                <w:bCs/>
              </w:rPr>
            </w:pPr>
            <w:r w:rsidRPr="009909AE">
              <w:rPr>
                <w:bCs/>
              </w:rPr>
              <w:t>67</w:t>
            </w:r>
          </w:p>
        </w:tc>
        <w:tc>
          <w:tcPr>
            <w:tcW w:w="8214" w:type="dxa"/>
          </w:tcPr>
          <w:p w:rsidR="00F014DA" w:rsidRPr="00716193" w:rsidRDefault="00F014DA" w:rsidP="00716193">
            <w:pPr>
              <w:tabs>
                <w:tab w:val="left" w:pos="5728"/>
              </w:tabs>
              <w:ind w:left="-114" w:right="-80"/>
              <w:jc w:val="both"/>
            </w:pPr>
            <w:r w:rsidRPr="00716193">
              <w:t>РД-И-1.34-2</w:t>
            </w:r>
            <w:r w:rsidRPr="00716193">
              <w:rPr>
                <w:lang w:val="en-US"/>
              </w:rPr>
              <w:t>(</w:t>
            </w:r>
            <w:r w:rsidRPr="00716193">
              <w:t>42</w:t>
            </w:r>
            <w:r w:rsidRPr="00716193">
              <w:rPr>
                <w:lang w:val="en-US"/>
              </w:rPr>
              <w:t>)</w:t>
            </w:r>
            <w:r w:rsidRPr="00716193">
              <w:t>/15.07.2015 г. – Констативен протокол</w:t>
            </w:r>
          </w:p>
        </w:tc>
        <w:tc>
          <w:tcPr>
            <w:tcW w:w="709" w:type="dxa"/>
          </w:tcPr>
          <w:p w:rsidR="00F014DA" w:rsidRPr="00716193" w:rsidRDefault="00F014DA" w:rsidP="00716193">
            <w:pPr>
              <w:ind w:left="-82"/>
              <w:jc w:val="center"/>
            </w:pPr>
            <w:r w:rsidRPr="00716193">
              <w:t>33</w:t>
            </w:r>
          </w:p>
        </w:tc>
      </w:tr>
      <w:tr w:rsidR="00F014DA" w:rsidRPr="00716193" w:rsidTr="00716193">
        <w:tc>
          <w:tcPr>
            <w:tcW w:w="683" w:type="dxa"/>
            <w:gridSpan w:val="2"/>
          </w:tcPr>
          <w:p w:rsidR="00F014DA" w:rsidRPr="009909AE" w:rsidRDefault="00F014DA" w:rsidP="00716193">
            <w:pPr>
              <w:ind w:right="-102"/>
              <w:jc w:val="center"/>
              <w:rPr>
                <w:bCs/>
              </w:rPr>
            </w:pPr>
            <w:r w:rsidRPr="009909AE">
              <w:rPr>
                <w:bCs/>
              </w:rPr>
              <w:t>68</w:t>
            </w:r>
          </w:p>
        </w:tc>
        <w:tc>
          <w:tcPr>
            <w:tcW w:w="8214" w:type="dxa"/>
          </w:tcPr>
          <w:p w:rsidR="00F014DA" w:rsidRPr="00716193" w:rsidRDefault="00F014DA" w:rsidP="00716193">
            <w:pPr>
              <w:tabs>
                <w:tab w:val="left" w:pos="5728"/>
              </w:tabs>
              <w:ind w:left="-114" w:right="-80"/>
              <w:jc w:val="both"/>
            </w:pPr>
            <w:r w:rsidRPr="00716193">
              <w:t>РД-И-1.34-2</w:t>
            </w:r>
            <w:r w:rsidRPr="00716193">
              <w:rPr>
                <w:lang w:val="en-US"/>
              </w:rPr>
              <w:t>(</w:t>
            </w:r>
            <w:r w:rsidRPr="00716193">
              <w:t>1</w:t>
            </w:r>
            <w:r w:rsidRPr="00716193">
              <w:rPr>
                <w:lang w:val="en-US"/>
              </w:rPr>
              <w:t>)</w:t>
            </w:r>
            <w:r w:rsidRPr="00716193">
              <w:t>/22.06.2015 г. – Констативен протокол</w:t>
            </w:r>
          </w:p>
        </w:tc>
        <w:tc>
          <w:tcPr>
            <w:tcW w:w="709" w:type="dxa"/>
          </w:tcPr>
          <w:p w:rsidR="00F014DA" w:rsidRPr="00716193" w:rsidRDefault="00F014DA" w:rsidP="00716193">
            <w:pPr>
              <w:ind w:left="-82"/>
              <w:jc w:val="center"/>
            </w:pPr>
            <w:r w:rsidRPr="00716193">
              <w:t>13</w:t>
            </w:r>
          </w:p>
        </w:tc>
      </w:tr>
      <w:tr w:rsidR="004A00BB" w:rsidRPr="00716193" w:rsidTr="00716193">
        <w:tc>
          <w:tcPr>
            <w:tcW w:w="683" w:type="dxa"/>
            <w:gridSpan w:val="2"/>
          </w:tcPr>
          <w:p w:rsidR="004A00BB" w:rsidRPr="009909AE" w:rsidRDefault="004A00BB" w:rsidP="00716193">
            <w:pPr>
              <w:ind w:right="-102"/>
              <w:jc w:val="center"/>
              <w:rPr>
                <w:bCs/>
              </w:rPr>
            </w:pPr>
            <w:r w:rsidRPr="009909AE">
              <w:rPr>
                <w:bCs/>
              </w:rPr>
              <w:t>69</w:t>
            </w:r>
          </w:p>
        </w:tc>
        <w:tc>
          <w:tcPr>
            <w:tcW w:w="8214" w:type="dxa"/>
          </w:tcPr>
          <w:p w:rsidR="004A00BB" w:rsidRPr="00716193" w:rsidRDefault="004A00BB" w:rsidP="00716193">
            <w:pPr>
              <w:tabs>
                <w:tab w:val="left" w:pos="5728"/>
              </w:tabs>
              <w:ind w:left="-114" w:right="-80"/>
              <w:jc w:val="both"/>
            </w:pPr>
            <w:r w:rsidRPr="00716193">
              <w:t>РД-И-1.34-2</w:t>
            </w:r>
            <w:r w:rsidRPr="00716193">
              <w:rPr>
                <w:lang w:val="en-US"/>
              </w:rPr>
              <w:t>(</w:t>
            </w:r>
            <w:r w:rsidRPr="00716193">
              <w:t>2</w:t>
            </w:r>
            <w:r w:rsidRPr="00716193">
              <w:rPr>
                <w:lang w:val="en-US"/>
              </w:rPr>
              <w:t>)</w:t>
            </w:r>
            <w:r w:rsidRPr="00716193">
              <w:t>/22.06.2015 г. – Констативен протокол</w:t>
            </w:r>
          </w:p>
        </w:tc>
        <w:tc>
          <w:tcPr>
            <w:tcW w:w="709" w:type="dxa"/>
          </w:tcPr>
          <w:p w:rsidR="004A00BB" w:rsidRPr="00716193" w:rsidRDefault="004A00BB" w:rsidP="00716193">
            <w:pPr>
              <w:ind w:left="-82"/>
              <w:jc w:val="center"/>
            </w:pPr>
            <w:r w:rsidRPr="00716193">
              <w:t>13</w:t>
            </w:r>
          </w:p>
        </w:tc>
      </w:tr>
      <w:tr w:rsidR="008354E0" w:rsidRPr="00716193" w:rsidTr="00716193">
        <w:tc>
          <w:tcPr>
            <w:tcW w:w="683" w:type="dxa"/>
            <w:gridSpan w:val="2"/>
          </w:tcPr>
          <w:p w:rsidR="008354E0" w:rsidRPr="009909AE" w:rsidRDefault="008354E0" w:rsidP="00716193">
            <w:pPr>
              <w:ind w:right="-102"/>
              <w:jc w:val="center"/>
              <w:rPr>
                <w:bCs/>
              </w:rPr>
            </w:pPr>
            <w:r w:rsidRPr="009909AE">
              <w:rPr>
                <w:bCs/>
              </w:rPr>
              <w:t>70</w:t>
            </w:r>
          </w:p>
        </w:tc>
        <w:tc>
          <w:tcPr>
            <w:tcW w:w="8214" w:type="dxa"/>
          </w:tcPr>
          <w:p w:rsidR="008354E0" w:rsidRPr="00716193" w:rsidRDefault="008354E0" w:rsidP="00716193">
            <w:pPr>
              <w:tabs>
                <w:tab w:val="left" w:pos="5728"/>
              </w:tabs>
              <w:ind w:left="-114" w:right="-80"/>
              <w:jc w:val="both"/>
            </w:pPr>
            <w:r w:rsidRPr="00716193">
              <w:t>РД-И-1.34-2</w:t>
            </w:r>
            <w:r w:rsidRPr="00716193">
              <w:rPr>
                <w:lang w:val="en-US"/>
              </w:rPr>
              <w:t>(</w:t>
            </w:r>
            <w:r w:rsidRPr="00716193">
              <w:t>3</w:t>
            </w:r>
            <w:r w:rsidRPr="00716193">
              <w:rPr>
                <w:lang w:val="en-US"/>
              </w:rPr>
              <w:t>)</w:t>
            </w:r>
            <w:r w:rsidRPr="00716193">
              <w:t>/22.06.2015 г. – Констативен протокол</w:t>
            </w:r>
          </w:p>
        </w:tc>
        <w:tc>
          <w:tcPr>
            <w:tcW w:w="709" w:type="dxa"/>
          </w:tcPr>
          <w:p w:rsidR="008354E0" w:rsidRPr="00716193" w:rsidRDefault="008354E0" w:rsidP="00716193">
            <w:pPr>
              <w:ind w:left="-82"/>
              <w:jc w:val="center"/>
            </w:pPr>
            <w:r w:rsidRPr="00716193">
              <w:t>12</w:t>
            </w:r>
          </w:p>
        </w:tc>
      </w:tr>
      <w:tr w:rsidR="008354E0" w:rsidRPr="00716193" w:rsidTr="00716193">
        <w:tc>
          <w:tcPr>
            <w:tcW w:w="683" w:type="dxa"/>
            <w:gridSpan w:val="2"/>
          </w:tcPr>
          <w:p w:rsidR="008354E0" w:rsidRPr="009909AE" w:rsidRDefault="008354E0" w:rsidP="00716193">
            <w:pPr>
              <w:ind w:right="-102"/>
              <w:jc w:val="center"/>
              <w:rPr>
                <w:bCs/>
              </w:rPr>
            </w:pPr>
            <w:r w:rsidRPr="009909AE">
              <w:rPr>
                <w:bCs/>
              </w:rPr>
              <w:t>71</w:t>
            </w:r>
          </w:p>
        </w:tc>
        <w:tc>
          <w:tcPr>
            <w:tcW w:w="8214" w:type="dxa"/>
          </w:tcPr>
          <w:p w:rsidR="008354E0" w:rsidRPr="00716193" w:rsidRDefault="008354E0" w:rsidP="00716193">
            <w:pPr>
              <w:tabs>
                <w:tab w:val="left" w:pos="5728"/>
              </w:tabs>
              <w:ind w:left="-114" w:right="-80"/>
              <w:jc w:val="both"/>
            </w:pPr>
            <w:r w:rsidRPr="00716193">
              <w:t>РД-И-1.34-2</w:t>
            </w:r>
            <w:r w:rsidRPr="00716193">
              <w:rPr>
                <w:lang w:val="en-US"/>
              </w:rPr>
              <w:t>(</w:t>
            </w:r>
            <w:r w:rsidRPr="00716193">
              <w:t>4</w:t>
            </w:r>
            <w:r w:rsidRPr="00716193">
              <w:rPr>
                <w:lang w:val="en-US"/>
              </w:rPr>
              <w:t>)</w:t>
            </w:r>
            <w:r w:rsidRPr="00716193">
              <w:t>/22.06.2015 г. – Констативен протокол</w:t>
            </w:r>
          </w:p>
        </w:tc>
        <w:tc>
          <w:tcPr>
            <w:tcW w:w="709" w:type="dxa"/>
          </w:tcPr>
          <w:p w:rsidR="008354E0" w:rsidRPr="00716193" w:rsidRDefault="008354E0" w:rsidP="00716193">
            <w:pPr>
              <w:ind w:left="-82"/>
              <w:jc w:val="center"/>
            </w:pPr>
            <w:r w:rsidRPr="00716193">
              <w:t>13</w:t>
            </w:r>
          </w:p>
        </w:tc>
      </w:tr>
      <w:tr w:rsidR="008354E0" w:rsidRPr="00716193" w:rsidTr="00716193">
        <w:tc>
          <w:tcPr>
            <w:tcW w:w="683" w:type="dxa"/>
            <w:gridSpan w:val="2"/>
          </w:tcPr>
          <w:p w:rsidR="008354E0" w:rsidRPr="009909AE" w:rsidRDefault="008354E0" w:rsidP="00716193">
            <w:pPr>
              <w:ind w:right="-102"/>
              <w:jc w:val="center"/>
              <w:rPr>
                <w:bCs/>
              </w:rPr>
            </w:pPr>
            <w:r w:rsidRPr="009909AE">
              <w:rPr>
                <w:bCs/>
              </w:rPr>
              <w:t>72</w:t>
            </w:r>
          </w:p>
        </w:tc>
        <w:tc>
          <w:tcPr>
            <w:tcW w:w="8214" w:type="dxa"/>
          </w:tcPr>
          <w:p w:rsidR="008354E0" w:rsidRPr="00716193" w:rsidRDefault="008354E0" w:rsidP="00716193">
            <w:pPr>
              <w:tabs>
                <w:tab w:val="left" w:pos="5728"/>
              </w:tabs>
              <w:ind w:left="-114" w:right="-80"/>
              <w:jc w:val="both"/>
            </w:pPr>
            <w:r w:rsidRPr="00716193">
              <w:t>РД-И-1.34-2</w:t>
            </w:r>
            <w:r w:rsidRPr="00716193">
              <w:rPr>
                <w:lang w:val="en-US"/>
              </w:rPr>
              <w:t>(</w:t>
            </w:r>
            <w:r w:rsidRPr="00716193">
              <w:t>5</w:t>
            </w:r>
            <w:r w:rsidRPr="00716193">
              <w:rPr>
                <w:lang w:val="en-US"/>
              </w:rPr>
              <w:t>)</w:t>
            </w:r>
            <w:r w:rsidRPr="00716193">
              <w:t>/22.06.2015 г. – Констативен протокол</w:t>
            </w:r>
          </w:p>
        </w:tc>
        <w:tc>
          <w:tcPr>
            <w:tcW w:w="709" w:type="dxa"/>
          </w:tcPr>
          <w:p w:rsidR="008354E0" w:rsidRPr="00716193" w:rsidRDefault="005F5AA9" w:rsidP="00716193">
            <w:pPr>
              <w:ind w:left="-82"/>
              <w:jc w:val="center"/>
            </w:pPr>
            <w:r w:rsidRPr="00716193">
              <w:t>14</w:t>
            </w:r>
          </w:p>
        </w:tc>
      </w:tr>
      <w:tr w:rsidR="005F5AA9" w:rsidRPr="00716193" w:rsidTr="00716193">
        <w:tc>
          <w:tcPr>
            <w:tcW w:w="683" w:type="dxa"/>
            <w:gridSpan w:val="2"/>
          </w:tcPr>
          <w:p w:rsidR="005F5AA9" w:rsidRPr="009909AE" w:rsidRDefault="005F5AA9" w:rsidP="00716193">
            <w:pPr>
              <w:ind w:right="-102"/>
              <w:jc w:val="center"/>
              <w:rPr>
                <w:bCs/>
              </w:rPr>
            </w:pPr>
            <w:r w:rsidRPr="009909AE">
              <w:rPr>
                <w:bCs/>
              </w:rPr>
              <w:t>73</w:t>
            </w:r>
          </w:p>
        </w:tc>
        <w:tc>
          <w:tcPr>
            <w:tcW w:w="8214" w:type="dxa"/>
          </w:tcPr>
          <w:p w:rsidR="005F5AA9" w:rsidRPr="00716193" w:rsidRDefault="005F5AA9" w:rsidP="00716193">
            <w:pPr>
              <w:tabs>
                <w:tab w:val="left" w:pos="5728"/>
              </w:tabs>
              <w:ind w:left="-114" w:right="-80"/>
              <w:jc w:val="both"/>
            </w:pPr>
            <w:r w:rsidRPr="00716193">
              <w:t>РД-И-1.34-2</w:t>
            </w:r>
            <w:r w:rsidRPr="00716193">
              <w:rPr>
                <w:lang w:val="en-US"/>
              </w:rPr>
              <w:t>(</w:t>
            </w:r>
            <w:r w:rsidRPr="00716193">
              <w:t>7</w:t>
            </w:r>
            <w:r w:rsidRPr="00716193">
              <w:rPr>
                <w:lang w:val="en-US"/>
              </w:rPr>
              <w:t>)</w:t>
            </w:r>
            <w:r w:rsidRPr="00716193">
              <w:t>/22.06.2015 г. – Констативен протокол</w:t>
            </w:r>
          </w:p>
        </w:tc>
        <w:tc>
          <w:tcPr>
            <w:tcW w:w="709" w:type="dxa"/>
          </w:tcPr>
          <w:p w:rsidR="005F5AA9" w:rsidRPr="00716193" w:rsidRDefault="005F5AA9" w:rsidP="00716193">
            <w:pPr>
              <w:ind w:left="-82"/>
              <w:jc w:val="center"/>
            </w:pPr>
            <w:r w:rsidRPr="00716193">
              <w:t>15</w:t>
            </w:r>
          </w:p>
        </w:tc>
      </w:tr>
      <w:tr w:rsidR="005F5AA9" w:rsidRPr="00716193" w:rsidTr="00716193">
        <w:tc>
          <w:tcPr>
            <w:tcW w:w="683" w:type="dxa"/>
            <w:gridSpan w:val="2"/>
          </w:tcPr>
          <w:p w:rsidR="005F5AA9" w:rsidRPr="009909AE" w:rsidRDefault="005F5AA9" w:rsidP="00716193">
            <w:pPr>
              <w:ind w:right="-102"/>
              <w:jc w:val="center"/>
              <w:rPr>
                <w:bCs/>
              </w:rPr>
            </w:pPr>
            <w:r w:rsidRPr="009909AE">
              <w:rPr>
                <w:bCs/>
              </w:rPr>
              <w:t>74</w:t>
            </w:r>
          </w:p>
        </w:tc>
        <w:tc>
          <w:tcPr>
            <w:tcW w:w="8214" w:type="dxa"/>
          </w:tcPr>
          <w:p w:rsidR="005F5AA9" w:rsidRPr="00716193" w:rsidRDefault="005F5AA9" w:rsidP="00716193">
            <w:pPr>
              <w:tabs>
                <w:tab w:val="left" w:pos="5728"/>
              </w:tabs>
              <w:ind w:left="-114" w:right="-80"/>
              <w:jc w:val="both"/>
            </w:pPr>
            <w:r w:rsidRPr="00716193">
              <w:t>РД-И-1.34-2</w:t>
            </w:r>
            <w:r w:rsidRPr="00716193">
              <w:rPr>
                <w:lang w:val="en-US"/>
              </w:rPr>
              <w:t>(</w:t>
            </w:r>
            <w:r w:rsidRPr="00716193">
              <w:t>8</w:t>
            </w:r>
            <w:r w:rsidRPr="00716193">
              <w:rPr>
                <w:lang w:val="en-US"/>
              </w:rPr>
              <w:t>)</w:t>
            </w:r>
            <w:r w:rsidRPr="00716193">
              <w:t>/22.06.2015 г. – Констативен протокол</w:t>
            </w:r>
          </w:p>
        </w:tc>
        <w:tc>
          <w:tcPr>
            <w:tcW w:w="709" w:type="dxa"/>
          </w:tcPr>
          <w:p w:rsidR="005F5AA9" w:rsidRPr="00716193" w:rsidRDefault="00A024CF" w:rsidP="00716193">
            <w:pPr>
              <w:ind w:left="-82"/>
              <w:jc w:val="center"/>
            </w:pPr>
            <w:r w:rsidRPr="00716193">
              <w:t>13</w:t>
            </w:r>
          </w:p>
        </w:tc>
      </w:tr>
      <w:tr w:rsidR="00A024CF" w:rsidRPr="00716193" w:rsidTr="00716193">
        <w:tc>
          <w:tcPr>
            <w:tcW w:w="683" w:type="dxa"/>
            <w:gridSpan w:val="2"/>
          </w:tcPr>
          <w:p w:rsidR="00A024CF" w:rsidRPr="009909AE" w:rsidRDefault="00A024CF" w:rsidP="00716193">
            <w:pPr>
              <w:ind w:right="-102"/>
              <w:jc w:val="center"/>
              <w:rPr>
                <w:bCs/>
              </w:rPr>
            </w:pPr>
            <w:r w:rsidRPr="009909AE">
              <w:rPr>
                <w:bCs/>
              </w:rPr>
              <w:t>75</w:t>
            </w:r>
          </w:p>
        </w:tc>
        <w:tc>
          <w:tcPr>
            <w:tcW w:w="8214" w:type="dxa"/>
          </w:tcPr>
          <w:p w:rsidR="00A024CF" w:rsidRPr="00716193" w:rsidRDefault="00A024CF" w:rsidP="00716193">
            <w:pPr>
              <w:tabs>
                <w:tab w:val="left" w:pos="5728"/>
              </w:tabs>
              <w:ind w:left="-114" w:right="-80"/>
              <w:jc w:val="both"/>
            </w:pPr>
            <w:r w:rsidRPr="00716193">
              <w:t>РД-И-1.34-2</w:t>
            </w:r>
            <w:r w:rsidRPr="00716193">
              <w:rPr>
                <w:lang w:val="en-US"/>
              </w:rPr>
              <w:t>(</w:t>
            </w:r>
            <w:r w:rsidR="009B5A5D" w:rsidRPr="00716193">
              <w:t>9</w:t>
            </w:r>
            <w:r w:rsidRPr="00716193">
              <w:rPr>
                <w:lang w:val="en-US"/>
              </w:rPr>
              <w:t>)</w:t>
            </w:r>
            <w:r w:rsidRPr="00716193">
              <w:t>/22.06.2015 г. – Констативен протокол</w:t>
            </w:r>
          </w:p>
        </w:tc>
        <w:tc>
          <w:tcPr>
            <w:tcW w:w="709" w:type="dxa"/>
          </w:tcPr>
          <w:p w:rsidR="00A024CF" w:rsidRPr="00716193" w:rsidRDefault="009B5A5D" w:rsidP="00716193">
            <w:pPr>
              <w:ind w:left="-82"/>
              <w:jc w:val="center"/>
            </w:pPr>
            <w:r w:rsidRPr="00716193">
              <w:t>13</w:t>
            </w:r>
          </w:p>
        </w:tc>
      </w:tr>
      <w:tr w:rsidR="009B5A5D" w:rsidRPr="00716193" w:rsidTr="00716193">
        <w:tc>
          <w:tcPr>
            <w:tcW w:w="683" w:type="dxa"/>
            <w:gridSpan w:val="2"/>
          </w:tcPr>
          <w:p w:rsidR="009B5A5D" w:rsidRPr="009909AE" w:rsidRDefault="009B5A5D" w:rsidP="00716193">
            <w:pPr>
              <w:ind w:right="-102"/>
              <w:jc w:val="center"/>
              <w:rPr>
                <w:bCs/>
              </w:rPr>
            </w:pPr>
            <w:r w:rsidRPr="009909AE">
              <w:rPr>
                <w:bCs/>
              </w:rPr>
              <w:t>76</w:t>
            </w:r>
          </w:p>
        </w:tc>
        <w:tc>
          <w:tcPr>
            <w:tcW w:w="8214" w:type="dxa"/>
          </w:tcPr>
          <w:p w:rsidR="009B5A5D" w:rsidRPr="00716193" w:rsidRDefault="009B5A5D" w:rsidP="00716193">
            <w:pPr>
              <w:tabs>
                <w:tab w:val="left" w:pos="5728"/>
              </w:tabs>
              <w:ind w:left="-114" w:right="-80"/>
              <w:jc w:val="both"/>
            </w:pPr>
            <w:r w:rsidRPr="00716193">
              <w:t>РД-И-1.34-2</w:t>
            </w:r>
            <w:r w:rsidRPr="00716193">
              <w:rPr>
                <w:lang w:val="en-US"/>
              </w:rPr>
              <w:t>(</w:t>
            </w:r>
            <w:r w:rsidRPr="00716193">
              <w:t>18</w:t>
            </w:r>
            <w:r w:rsidRPr="00716193">
              <w:rPr>
                <w:lang w:val="en-US"/>
              </w:rPr>
              <w:t>)</w:t>
            </w:r>
            <w:r w:rsidRPr="00716193">
              <w:t>/15.07.2015 г. – Констативен протокол</w:t>
            </w:r>
          </w:p>
        </w:tc>
        <w:tc>
          <w:tcPr>
            <w:tcW w:w="709" w:type="dxa"/>
          </w:tcPr>
          <w:p w:rsidR="009B5A5D" w:rsidRPr="00716193" w:rsidRDefault="009B5A5D" w:rsidP="00716193">
            <w:pPr>
              <w:ind w:left="-82"/>
              <w:jc w:val="center"/>
              <w:rPr>
                <w:lang w:val="en-US"/>
              </w:rPr>
            </w:pPr>
            <w:r w:rsidRPr="00716193">
              <w:t>1</w:t>
            </w:r>
            <w:r w:rsidR="00AF1885" w:rsidRPr="00716193">
              <w:rPr>
                <w:lang w:val="en-US"/>
              </w:rPr>
              <w:t>5</w:t>
            </w:r>
          </w:p>
        </w:tc>
      </w:tr>
      <w:tr w:rsidR="009B5A5D" w:rsidRPr="00716193" w:rsidTr="00716193">
        <w:tc>
          <w:tcPr>
            <w:tcW w:w="683" w:type="dxa"/>
            <w:gridSpan w:val="2"/>
          </w:tcPr>
          <w:p w:rsidR="009B5A5D" w:rsidRPr="009909AE" w:rsidRDefault="009B5A5D" w:rsidP="00716193">
            <w:pPr>
              <w:ind w:right="-102"/>
              <w:jc w:val="center"/>
              <w:rPr>
                <w:bCs/>
              </w:rPr>
            </w:pPr>
            <w:r w:rsidRPr="009909AE">
              <w:rPr>
                <w:bCs/>
              </w:rPr>
              <w:t>77</w:t>
            </w:r>
          </w:p>
        </w:tc>
        <w:tc>
          <w:tcPr>
            <w:tcW w:w="8214" w:type="dxa"/>
          </w:tcPr>
          <w:p w:rsidR="009B5A5D" w:rsidRPr="00716193" w:rsidRDefault="009B5A5D" w:rsidP="00716193">
            <w:pPr>
              <w:tabs>
                <w:tab w:val="left" w:pos="5728"/>
              </w:tabs>
              <w:ind w:left="-114" w:right="-80"/>
              <w:jc w:val="both"/>
            </w:pPr>
            <w:r w:rsidRPr="00716193">
              <w:t>РД-И-1.34-2</w:t>
            </w:r>
            <w:r w:rsidRPr="00716193">
              <w:rPr>
                <w:lang w:val="en-US"/>
              </w:rPr>
              <w:t>(</w:t>
            </w:r>
            <w:r w:rsidRPr="00716193">
              <w:t>19</w:t>
            </w:r>
            <w:r w:rsidRPr="00716193">
              <w:rPr>
                <w:lang w:val="en-US"/>
              </w:rPr>
              <w:t>)</w:t>
            </w:r>
            <w:r w:rsidRPr="00716193">
              <w:t>/15.07.2015 г. – Констативен протокол</w:t>
            </w:r>
          </w:p>
        </w:tc>
        <w:tc>
          <w:tcPr>
            <w:tcW w:w="709" w:type="dxa"/>
          </w:tcPr>
          <w:p w:rsidR="009B5A5D" w:rsidRPr="00716193" w:rsidRDefault="00E03275" w:rsidP="00716193">
            <w:pPr>
              <w:ind w:left="-82"/>
              <w:jc w:val="center"/>
              <w:rPr>
                <w:lang w:val="en-US"/>
              </w:rPr>
            </w:pPr>
            <w:r w:rsidRPr="00716193">
              <w:t>1</w:t>
            </w:r>
            <w:r w:rsidR="007B0836" w:rsidRPr="00716193">
              <w:rPr>
                <w:lang w:val="en-US"/>
              </w:rPr>
              <w:t>5</w:t>
            </w:r>
          </w:p>
        </w:tc>
      </w:tr>
      <w:tr w:rsidR="005606F8" w:rsidRPr="00716193" w:rsidTr="00716193">
        <w:tc>
          <w:tcPr>
            <w:tcW w:w="683" w:type="dxa"/>
            <w:gridSpan w:val="2"/>
          </w:tcPr>
          <w:p w:rsidR="005606F8" w:rsidRPr="009909AE" w:rsidRDefault="00D63807" w:rsidP="00716193">
            <w:pPr>
              <w:ind w:right="-102"/>
              <w:jc w:val="center"/>
              <w:rPr>
                <w:bCs/>
              </w:rPr>
            </w:pPr>
            <w:r w:rsidRPr="009909AE">
              <w:rPr>
                <w:bCs/>
              </w:rPr>
              <w:t>78</w:t>
            </w:r>
          </w:p>
        </w:tc>
        <w:tc>
          <w:tcPr>
            <w:tcW w:w="8214" w:type="dxa"/>
          </w:tcPr>
          <w:p w:rsidR="005606F8" w:rsidRPr="00716193" w:rsidRDefault="00D63807" w:rsidP="00716193">
            <w:pPr>
              <w:tabs>
                <w:tab w:val="left" w:pos="5728"/>
              </w:tabs>
              <w:ind w:left="-114" w:right="-80"/>
              <w:jc w:val="both"/>
            </w:pPr>
            <w:r w:rsidRPr="00716193">
              <w:t>Становище от юрисконсулт Юлиян Христов, от дата 27.07.2015 г.</w:t>
            </w:r>
          </w:p>
        </w:tc>
        <w:tc>
          <w:tcPr>
            <w:tcW w:w="709" w:type="dxa"/>
          </w:tcPr>
          <w:p w:rsidR="005606F8" w:rsidRPr="00716193" w:rsidRDefault="00D63807" w:rsidP="00716193">
            <w:pPr>
              <w:ind w:left="-82"/>
              <w:jc w:val="center"/>
            </w:pPr>
            <w:r w:rsidRPr="00716193">
              <w:t>1</w:t>
            </w:r>
          </w:p>
        </w:tc>
      </w:tr>
      <w:tr w:rsidR="00665E28" w:rsidRPr="00716193" w:rsidTr="00716193">
        <w:tc>
          <w:tcPr>
            <w:tcW w:w="683" w:type="dxa"/>
            <w:gridSpan w:val="2"/>
          </w:tcPr>
          <w:p w:rsidR="00665E28" w:rsidRPr="009909AE" w:rsidRDefault="00665E28" w:rsidP="00716193">
            <w:pPr>
              <w:ind w:right="-102"/>
              <w:jc w:val="center"/>
              <w:rPr>
                <w:bCs/>
              </w:rPr>
            </w:pPr>
            <w:r w:rsidRPr="009909AE">
              <w:rPr>
                <w:bCs/>
              </w:rPr>
              <w:t>79</w:t>
            </w:r>
          </w:p>
        </w:tc>
        <w:tc>
          <w:tcPr>
            <w:tcW w:w="8214" w:type="dxa"/>
          </w:tcPr>
          <w:p w:rsidR="00665E28" w:rsidRPr="00716193" w:rsidRDefault="00665E28" w:rsidP="00716193">
            <w:pPr>
              <w:tabs>
                <w:tab w:val="left" w:pos="5728"/>
              </w:tabs>
              <w:ind w:left="-114" w:right="-80"/>
              <w:jc w:val="both"/>
            </w:pPr>
            <w:r w:rsidRPr="00716193">
              <w:t>РД-И-1.34-2</w:t>
            </w:r>
            <w:r w:rsidRPr="00716193">
              <w:rPr>
                <w:lang w:val="en-US"/>
              </w:rPr>
              <w:t>(</w:t>
            </w:r>
            <w:r w:rsidRPr="00716193">
              <w:t>27</w:t>
            </w:r>
            <w:r w:rsidRPr="00716193">
              <w:rPr>
                <w:lang w:val="en-US"/>
              </w:rPr>
              <w:t>)</w:t>
            </w:r>
            <w:r w:rsidRPr="00716193">
              <w:t>/22.06.2015 г. – Констативен протокол</w:t>
            </w:r>
          </w:p>
        </w:tc>
        <w:tc>
          <w:tcPr>
            <w:tcW w:w="709" w:type="dxa"/>
          </w:tcPr>
          <w:p w:rsidR="00665E28" w:rsidRPr="00716193" w:rsidRDefault="00665E28" w:rsidP="00716193">
            <w:pPr>
              <w:ind w:left="-82"/>
              <w:jc w:val="center"/>
            </w:pPr>
            <w:r w:rsidRPr="00716193">
              <w:t>20</w:t>
            </w:r>
          </w:p>
        </w:tc>
      </w:tr>
      <w:tr w:rsidR="000867DA" w:rsidRPr="00716193" w:rsidTr="00716193">
        <w:tc>
          <w:tcPr>
            <w:tcW w:w="683" w:type="dxa"/>
            <w:gridSpan w:val="2"/>
          </w:tcPr>
          <w:p w:rsidR="000867DA" w:rsidRPr="009909AE" w:rsidRDefault="000867DA" w:rsidP="00716193">
            <w:pPr>
              <w:ind w:right="-102"/>
              <w:jc w:val="center"/>
              <w:rPr>
                <w:bCs/>
              </w:rPr>
            </w:pPr>
            <w:r w:rsidRPr="009909AE">
              <w:rPr>
                <w:bCs/>
              </w:rPr>
              <w:t>80</w:t>
            </w:r>
          </w:p>
        </w:tc>
        <w:tc>
          <w:tcPr>
            <w:tcW w:w="8214" w:type="dxa"/>
          </w:tcPr>
          <w:p w:rsidR="000867DA" w:rsidRPr="00716193" w:rsidRDefault="000867DA" w:rsidP="00716193">
            <w:pPr>
              <w:tabs>
                <w:tab w:val="left" w:pos="5728"/>
              </w:tabs>
              <w:ind w:left="-114" w:right="-80"/>
              <w:jc w:val="both"/>
            </w:pPr>
            <w:r w:rsidRPr="00716193">
              <w:t>РД-И-1.34-2</w:t>
            </w:r>
            <w:r w:rsidRPr="00716193">
              <w:rPr>
                <w:lang w:val="en-US"/>
              </w:rPr>
              <w:t>(</w:t>
            </w:r>
            <w:r w:rsidRPr="00716193">
              <w:t>30</w:t>
            </w:r>
            <w:r w:rsidRPr="00716193">
              <w:rPr>
                <w:lang w:val="en-US"/>
              </w:rPr>
              <w:t>)</w:t>
            </w:r>
            <w:r w:rsidRPr="00716193">
              <w:t>/15.07.2015 г. – Констативен протокол</w:t>
            </w:r>
          </w:p>
        </w:tc>
        <w:tc>
          <w:tcPr>
            <w:tcW w:w="709" w:type="dxa"/>
          </w:tcPr>
          <w:p w:rsidR="000867DA" w:rsidRPr="00716193" w:rsidRDefault="00550093" w:rsidP="00716193">
            <w:pPr>
              <w:ind w:left="-82"/>
              <w:jc w:val="center"/>
            </w:pPr>
            <w:r w:rsidRPr="00716193">
              <w:t>1</w:t>
            </w:r>
            <w:r w:rsidR="00EF4C80" w:rsidRPr="00716193">
              <w:t>4</w:t>
            </w:r>
          </w:p>
        </w:tc>
      </w:tr>
      <w:tr w:rsidR="007D3FA1" w:rsidRPr="00716193" w:rsidTr="00716193">
        <w:tc>
          <w:tcPr>
            <w:tcW w:w="683" w:type="dxa"/>
            <w:gridSpan w:val="2"/>
          </w:tcPr>
          <w:p w:rsidR="007D3FA1" w:rsidRPr="009909AE" w:rsidRDefault="007D3FA1" w:rsidP="00716193">
            <w:pPr>
              <w:ind w:right="-102"/>
              <w:jc w:val="center"/>
              <w:rPr>
                <w:bCs/>
              </w:rPr>
            </w:pPr>
            <w:r w:rsidRPr="009909AE">
              <w:rPr>
                <w:bCs/>
              </w:rPr>
              <w:t>81</w:t>
            </w:r>
          </w:p>
        </w:tc>
        <w:tc>
          <w:tcPr>
            <w:tcW w:w="8214" w:type="dxa"/>
          </w:tcPr>
          <w:p w:rsidR="007D3FA1" w:rsidRPr="00716193" w:rsidRDefault="007D3FA1" w:rsidP="00716193">
            <w:pPr>
              <w:tabs>
                <w:tab w:val="left" w:pos="5728"/>
              </w:tabs>
              <w:ind w:left="-114" w:right="-80"/>
              <w:jc w:val="both"/>
            </w:pPr>
            <w:r w:rsidRPr="00716193">
              <w:t>РД-И-1.34-2</w:t>
            </w:r>
            <w:r w:rsidRPr="00716193">
              <w:rPr>
                <w:lang w:val="en-US"/>
              </w:rPr>
              <w:t>(</w:t>
            </w:r>
            <w:r w:rsidRPr="00716193">
              <w:t>17</w:t>
            </w:r>
            <w:r w:rsidRPr="00716193">
              <w:rPr>
                <w:lang w:val="en-US"/>
              </w:rPr>
              <w:t>)</w:t>
            </w:r>
            <w:r w:rsidRPr="00716193">
              <w:t>/15.07.2015 г. – Констативен протокол</w:t>
            </w:r>
          </w:p>
        </w:tc>
        <w:tc>
          <w:tcPr>
            <w:tcW w:w="709" w:type="dxa"/>
          </w:tcPr>
          <w:p w:rsidR="007D3FA1" w:rsidRPr="00716193" w:rsidRDefault="007D3FA1" w:rsidP="00716193">
            <w:pPr>
              <w:ind w:left="-82"/>
              <w:jc w:val="center"/>
            </w:pPr>
            <w:r w:rsidRPr="00716193">
              <w:t>1</w:t>
            </w:r>
            <w:r w:rsidR="00076893" w:rsidRPr="00716193">
              <w:t>1</w:t>
            </w:r>
          </w:p>
        </w:tc>
      </w:tr>
      <w:tr w:rsidR="00F653E1" w:rsidRPr="00716193" w:rsidTr="00716193">
        <w:tc>
          <w:tcPr>
            <w:tcW w:w="683" w:type="dxa"/>
            <w:gridSpan w:val="2"/>
          </w:tcPr>
          <w:p w:rsidR="00F653E1" w:rsidRPr="009909AE" w:rsidRDefault="00F653E1" w:rsidP="00716193">
            <w:pPr>
              <w:ind w:right="-102"/>
              <w:jc w:val="center"/>
              <w:rPr>
                <w:bCs/>
              </w:rPr>
            </w:pPr>
            <w:r w:rsidRPr="009909AE">
              <w:rPr>
                <w:bCs/>
              </w:rPr>
              <w:t>82</w:t>
            </w:r>
          </w:p>
        </w:tc>
        <w:tc>
          <w:tcPr>
            <w:tcW w:w="8214" w:type="dxa"/>
          </w:tcPr>
          <w:p w:rsidR="00F653E1" w:rsidRPr="00716193" w:rsidRDefault="008B597F" w:rsidP="00716193">
            <w:pPr>
              <w:tabs>
                <w:tab w:val="left" w:pos="5728"/>
              </w:tabs>
              <w:ind w:left="-114" w:right="-80"/>
              <w:jc w:val="both"/>
            </w:pPr>
            <w:r w:rsidRPr="00716193">
              <w:t>Молба, служебна бележка, декларация, заповед на изпълнителния директор № 12-68-2/13.08.2013 г. и Договор № 12-68-2/13.08.2013 г. с Христинка Цолова; Молба, служебна бележка, декларация, заповед на изпълнителния директор № 1</w:t>
            </w:r>
            <w:r w:rsidR="00FF1140" w:rsidRPr="00716193">
              <w:t>4</w:t>
            </w:r>
            <w:r w:rsidRPr="00716193">
              <w:t>-</w:t>
            </w:r>
            <w:r w:rsidR="00FF1140" w:rsidRPr="00716193">
              <w:t>13</w:t>
            </w:r>
            <w:r w:rsidRPr="00716193">
              <w:t>68-</w:t>
            </w:r>
            <w:r w:rsidR="00FF1140" w:rsidRPr="00716193">
              <w:t>1</w:t>
            </w:r>
            <w:r w:rsidRPr="00716193">
              <w:t>/1</w:t>
            </w:r>
            <w:r w:rsidR="00FF1140" w:rsidRPr="00716193">
              <w:t>8</w:t>
            </w:r>
            <w:r w:rsidRPr="00716193">
              <w:t>.0</w:t>
            </w:r>
            <w:r w:rsidR="00FF1140" w:rsidRPr="00716193">
              <w:t>7</w:t>
            </w:r>
            <w:r w:rsidRPr="00716193">
              <w:t>.201</w:t>
            </w:r>
            <w:r w:rsidR="00FF1140" w:rsidRPr="00716193">
              <w:t>4</w:t>
            </w:r>
            <w:r w:rsidRPr="00716193">
              <w:t xml:space="preserve"> г. и Договор № 14-1368-1/18.07.2014 г. с Елена Янчева;</w:t>
            </w:r>
            <w:r w:rsidR="00172862" w:rsidRPr="00716193">
              <w:t xml:space="preserve"> </w:t>
            </w:r>
            <w:r w:rsidR="00172862" w:rsidRPr="00716193">
              <w:lastRenderedPageBreak/>
              <w:t xml:space="preserve">Молба, служебна бележка, декларация и заповед на изпълнителния директор № 11-816-1/13.08.2013 г. за настаняване на Мария Николова Дамянова; Молба, служебна бележка, декларация и заповед на изпълнителния директор № 11-2981-1/17.10.2014 г. за настаняване на Евлоги Спасов Михайлов; Молба, служебна бележка, декларация и заповед на изпълнителния директор № 14-1035-1/05.09.2014 г. за настаняване на Йорданка Борисова Кръстева; </w:t>
            </w:r>
          </w:p>
        </w:tc>
        <w:tc>
          <w:tcPr>
            <w:tcW w:w="709" w:type="dxa"/>
          </w:tcPr>
          <w:p w:rsidR="00F653E1" w:rsidRPr="00716193" w:rsidRDefault="006A18FC" w:rsidP="00716193">
            <w:pPr>
              <w:ind w:left="-82"/>
              <w:jc w:val="center"/>
            </w:pPr>
            <w:r w:rsidRPr="00716193">
              <w:lastRenderedPageBreak/>
              <w:t>30</w:t>
            </w:r>
          </w:p>
        </w:tc>
      </w:tr>
      <w:tr w:rsidR="00F653E1" w:rsidRPr="00716193" w:rsidTr="00716193">
        <w:tc>
          <w:tcPr>
            <w:tcW w:w="683" w:type="dxa"/>
            <w:gridSpan w:val="2"/>
          </w:tcPr>
          <w:p w:rsidR="00F653E1" w:rsidRPr="009909AE" w:rsidRDefault="00745C4E" w:rsidP="00716193">
            <w:pPr>
              <w:ind w:right="-102"/>
              <w:jc w:val="center"/>
              <w:rPr>
                <w:bCs/>
              </w:rPr>
            </w:pPr>
            <w:r w:rsidRPr="009909AE">
              <w:rPr>
                <w:bCs/>
              </w:rPr>
              <w:lastRenderedPageBreak/>
              <w:t>83</w:t>
            </w:r>
          </w:p>
        </w:tc>
        <w:tc>
          <w:tcPr>
            <w:tcW w:w="8214" w:type="dxa"/>
          </w:tcPr>
          <w:p w:rsidR="00F653E1" w:rsidRPr="00716193" w:rsidRDefault="00745C4E" w:rsidP="00716193">
            <w:pPr>
              <w:tabs>
                <w:tab w:val="left" w:pos="5728"/>
              </w:tabs>
              <w:ind w:left="-114" w:right="-80"/>
              <w:jc w:val="both"/>
            </w:pPr>
            <w:r w:rsidRPr="00716193">
              <w:t>РД-И-1.34-2</w:t>
            </w:r>
            <w:r w:rsidRPr="00716193">
              <w:rPr>
                <w:lang w:val="en-US"/>
              </w:rPr>
              <w:t>(</w:t>
            </w:r>
            <w:r w:rsidRPr="00716193">
              <w:t>6</w:t>
            </w:r>
            <w:r w:rsidRPr="00716193">
              <w:rPr>
                <w:lang w:val="en-US"/>
              </w:rPr>
              <w:t>)</w:t>
            </w:r>
            <w:r w:rsidRPr="00716193">
              <w:t>/22.06.2015 г. – Констативен протокол</w:t>
            </w:r>
          </w:p>
        </w:tc>
        <w:tc>
          <w:tcPr>
            <w:tcW w:w="709" w:type="dxa"/>
          </w:tcPr>
          <w:p w:rsidR="00F653E1" w:rsidRPr="00716193" w:rsidRDefault="00745C4E" w:rsidP="00716193">
            <w:pPr>
              <w:ind w:left="-82"/>
              <w:jc w:val="center"/>
            </w:pPr>
            <w:r w:rsidRPr="00716193">
              <w:t>8</w:t>
            </w:r>
          </w:p>
        </w:tc>
      </w:tr>
      <w:tr w:rsidR="00F653E1" w:rsidRPr="00716193" w:rsidTr="00716193">
        <w:tc>
          <w:tcPr>
            <w:tcW w:w="683" w:type="dxa"/>
            <w:gridSpan w:val="2"/>
          </w:tcPr>
          <w:p w:rsidR="00F653E1" w:rsidRPr="009909AE" w:rsidRDefault="00795099" w:rsidP="00716193">
            <w:pPr>
              <w:ind w:right="-102"/>
              <w:jc w:val="center"/>
              <w:rPr>
                <w:bCs/>
              </w:rPr>
            </w:pPr>
            <w:r w:rsidRPr="009909AE">
              <w:rPr>
                <w:bCs/>
              </w:rPr>
              <w:t>84</w:t>
            </w:r>
          </w:p>
        </w:tc>
        <w:tc>
          <w:tcPr>
            <w:tcW w:w="8214" w:type="dxa"/>
          </w:tcPr>
          <w:p w:rsidR="00F653E1" w:rsidRPr="00716193" w:rsidRDefault="00795099" w:rsidP="00716193">
            <w:pPr>
              <w:tabs>
                <w:tab w:val="left" w:pos="5728"/>
              </w:tabs>
              <w:ind w:left="-114" w:right="-80"/>
              <w:jc w:val="both"/>
            </w:pPr>
            <w:r w:rsidRPr="00716193">
              <w:t>РД-И-1.34-2</w:t>
            </w:r>
            <w:r w:rsidRPr="00716193">
              <w:rPr>
                <w:lang w:val="en-US"/>
              </w:rPr>
              <w:t>(</w:t>
            </w:r>
            <w:r w:rsidRPr="00716193">
              <w:t>10</w:t>
            </w:r>
            <w:r w:rsidRPr="00716193">
              <w:rPr>
                <w:lang w:val="en-US"/>
              </w:rPr>
              <w:t>)</w:t>
            </w:r>
            <w:r w:rsidRPr="00716193">
              <w:t>/22.06.2015 г. – Констативен протокол</w:t>
            </w:r>
          </w:p>
        </w:tc>
        <w:tc>
          <w:tcPr>
            <w:tcW w:w="709" w:type="dxa"/>
          </w:tcPr>
          <w:p w:rsidR="00F653E1" w:rsidRPr="00716193" w:rsidRDefault="00793911" w:rsidP="00716193">
            <w:pPr>
              <w:ind w:left="-82"/>
              <w:jc w:val="center"/>
            </w:pPr>
            <w:r w:rsidRPr="00716193">
              <w:t>15</w:t>
            </w:r>
          </w:p>
        </w:tc>
      </w:tr>
      <w:tr w:rsidR="008116FB" w:rsidRPr="00716193" w:rsidTr="00716193">
        <w:tc>
          <w:tcPr>
            <w:tcW w:w="683" w:type="dxa"/>
            <w:gridSpan w:val="2"/>
          </w:tcPr>
          <w:p w:rsidR="008116FB" w:rsidRPr="009909AE" w:rsidRDefault="008116FB" w:rsidP="00716193">
            <w:pPr>
              <w:ind w:right="-102"/>
              <w:jc w:val="center"/>
              <w:rPr>
                <w:bCs/>
              </w:rPr>
            </w:pPr>
            <w:r w:rsidRPr="009909AE">
              <w:rPr>
                <w:bCs/>
              </w:rPr>
              <w:t>85</w:t>
            </w:r>
          </w:p>
        </w:tc>
        <w:tc>
          <w:tcPr>
            <w:tcW w:w="8214" w:type="dxa"/>
          </w:tcPr>
          <w:p w:rsidR="008116FB" w:rsidRPr="00716193" w:rsidRDefault="008116FB" w:rsidP="00716193">
            <w:pPr>
              <w:tabs>
                <w:tab w:val="left" w:pos="5728"/>
              </w:tabs>
              <w:ind w:left="-114" w:right="-80"/>
              <w:jc w:val="both"/>
            </w:pPr>
            <w:r w:rsidRPr="00716193">
              <w:t>РД-И-1.34-2</w:t>
            </w:r>
            <w:r w:rsidRPr="00716193">
              <w:rPr>
                <w:lang w:val="en-US"/>
              </w:rPr>
              <w:t>(</w:t>
            </w:r>
            <w:r w:rsidRPr="00716193">
              <w:t>11</w:t>
            </w:r>
            <w:r w:rsidRPr="00716193">
              <w:rPr>
                <w:lang w:val="en-US"/>
              </w:rPr>
              <w:t>)</w:t>
            </w:r>
            <w:r w:rsidRPr="00716193">
              <w:t>/22.06.2015 г. – Констативен протокол</w:t>
            </w:r>
          </w:p>
        </w:tc>
        <w:tc>
          <w:tcPr>
            <w:tcW w:w="709" w:type="dxa"/>
          </w:tcPr>
          <w:p w:rsidR="008116FB" w:rsidRPr="00716193" w:rsidRDefault="008116FB" w:rsidP="00716193">
            <w:pPr>
              <w:ind w:left="-82"/>
              <w:jc w:val="center"/>
            </w:pPr>
            <w:r w:rsidRPr="00716193">
              <w:t>9</w:t>
            </w:r>
          </w:p>
        </w:tc>
      </w:tr>
      <w:tr w:rsidR="002352A6" w:rsidRPr="00716193" w:rsidTr="00716193">
        <w:tc>
          <w:tcPr>
            <w:tcW w:w="683" w:type="dxa"/>
            <w:gridSpan w:val="2"/>
          </w:tcPr>
          <w:p w:rsidR="002352A6" w:rsidRPr="009909AE" w:rsidRDefault="002352A6" w:rsidP="00716193">
            <w:pPr>
              <w:ind w:right="-102"/>
              <w:jc w:val="center"/>
              <w:rPr>
                <w:bCs/>
              </w:rPr>
            </w:pPr>
            <w:r w:rsidRPr="009909AE">
              <w:rPr>
                <w:bCs/>
              </w:rPr>
              <w:t>86</w:t>
            </w:r>
          </w:p>
        </w:tc>
        <w:tc>
          <w:tcPr>
            <w:tcW w:w="8214" w:type="dxa"/>
          </w:tcPr>
          <w:p w:rsidR="002352A6" w:rsidRPr="00716193" w:rsidRDefault="002352A6" w:rsidP="00716193">
            <w:pPr>
              <w:tabs>
                <w:tab w:val="left" w:pos="5728"/>
              </w:tabs>
              <w:ind w:left="-114" w:right="-80"/>
              <w:jc w:val="both"/>
            </w:pPr>
            <w:r w:rsidRPr="00716193">
              <w:t>РД-И-1.34-2</w:t>
            </w:r>
            <w:r w:rsidRPr="00716193">
              <w:rPr>
                <w:lang w:val="en-US"/>
              </w:rPr>
              <w:t>(</w:t>
            </w:r>
            <w:r w:rsidRPr="00716193">
              <w:t>12</w:t>
            </w:r>
            <w:r w:rsidRPr="00716193">
              <w:rPr>
                <w:lang w:val="en-US"/>
              </w:rPr>
              <w:t>)</w:t>
            </w:r>
            <w:r w:rsidRPr="00716193">
              <w:t>/22.06.2015 г. – Констативен протокол</w:t>
            </w:r>
          </w:p>
        </w:tc>
        <w:tc>
          <w:tcPr>
            <w:tcW w:w="709" w:type="dxa"/>
          </w:tcPr>
          <w:p w:rsidR="002352A6" w:rsidRPr="00716193" w:rsidRDefault="002352A6" w:rsidP="00716193">
            <w:pPr>
              <w:ind w:left="-82"/>
              <w:jc w:val="center"/>
            </w:pPr>
            <w:r w:rsidRPr="00716193">
              <w:t>8</w:t>
            </w:r>
          </w:p>
        </w:tc>
      </w:tr>
      <w:tr w:rsidR="00F96528" w:rsidRPr="00716193" w:rsidTr="00716193">
        <w:tc>
          <w:tcPr>
            <w:tcW w:w="683" w:type="dxa"/>
            <w:gridSpan w:val="2"/>
          </w:tcPr>
          <w:p w:rsidR="00F96528" w:rsidRPr="009909AE" w:rsidRDefault="00F96528" w:rsidP="00716193">
            <w:pPr>
              <w:ind w:right="-102"/>
              <w:jc w:val="center"/>
              <w:rPr>
                <w:bCs/>
              </w:rPr>
            </w:pPr>
            <w:r w:rsidRPr="009909AE">
              <w:rPr>
                <w:bCs/>
              </w:rPr>
              <w:t>87</w:t>
            </w:r>
          </w:p>
        </w:tc>
        <w:tc>
          <w:tcPr>
            <w:tcW w:w="8214" w:type="dxa"/>
          </w:tcPr>
          <w:p w:rsidR="00F96528" w:rsidRPr="00716193" w:rsidRDefault="00F96528" w:rsidP="00716193">
            <w:pPr>
              <w:tabs>
                <w:tab w:val="left" w:pos="5728"/>
              </w:tabs>
              <w:ind w:left="-114" w:right="-80"/>
              <w:jc w:val="both"/>
            </w:pPr>
            <w:r w:rsidRPr="00716193">
              <w:t>РД-И-1.34-2</w:t>
            </w:r>
            <w:r w:rsidRPr="00716193">
              <w:rPr>
                <w:lang w:val="en-US"/>
              </w:rPr>
              <w:t>(</w:t>
            </w:r>
            <w:r w:rsidRPr="00716193">
              <w:t>13</w:t>
            </w:r>
            <w:r w:rsidRPr="00716193">
              <w:rPr>
                <w:lang w:val="en-US"/>
              </w:rPr>
              <w:t>)</w:t>
            </w:r>
            <w:r w:rsidRPr="00716193">
              <w:t>/22.06.2015 г. – Констативен протокол</w:t>
            </w:r>
          </w:p>
        </w:tc>
        <w:tc>
          <w:tcPr>
            <w:tcW w:w="709" w:type="dxa"/>
          </w:tcPr>
          <w:p w:rsidR="00F96528" w:rsidRPr="00716193" w:rsidRDefault="00F96528" w:rsidP="00716193">
            <w:pPr>
              <w:ind w:left="-82"/>
              <w:jc w:val="center"/>
            </w:pPr>
            <w:r w:rsidRPr="00716193">
              <w:t>6</w:t>
            </w:r>
          </w:p>
        </w:tc>
      </w:tr>
      <w:tr w:rsidR="007F7B96" w:rsidRPr="00716193" w:rsidTr="00716193">
        <w:tc>
          <w:tcPr>
            <w:tcW w:w="683" w:type="dxa"/>
            <w:gridSpan w:val="2"/>
          </w:tcPr>
          <w:p w:rsidR="007F7B96" w:rsidRPr="009909AE" w:rsidRDefault="007F7B96" w:rsidP="00716193">
            <w:pPr>
              <w:ind w:right="-102"/>
              <w:jc w:val="center"/>
              <w:rPr>
                <w:bCs/>
              </w:rPr>
            </w:pPr>
            <w:r w:rsidRPr="009909AE">
              <w:rPr>
                <w:bCs/>
              </w:rPr>
              <w:t>88</w:t>
            </w:r>
          </w:p>
        </w:tc>
        <w:tc>
          <w:tcPr>
            <w:tcW w:w="8214" w:type="dxa"/>
          </w:tcPr>
          <w:p w:rsidR="007F7B96" w:rsidRPr="00716193" w:rsidRDefault="007F7B96" w:rsidP="00716193">
            <w:pPr>
              <w:tabs>
                <w:tab w:val="left" w:pos="5728"/>
              </w:tabs>
              <w:ind w:left="-114" w:right="-80"/>
              <w:jc w:val="both"/>
            </w:pPr>
            <w:r w:rsidRPr="00716193">
              <w:t>РД-И-1.34-2</w:t>
            </w:r>
            <w:r w:rsidRPr="00716193">
              <w:rPr>
                <w:lang w:val="en-US"/>
              </w:rPr>
              <w:t>(</w:t>
            </w:r>
            <w:r w:rsidRPr="00716193">
              <w:t>14</w:t>
            </w:r>
            <w:r w:rsidRPr="00716193">
              <w:rPr>
                <w:lang w:val="en-US"/>
              </w:rPr>
              <w:t>)</w:t>
            </w:r>
            <w:r w:rsidRPr="00716193">
              <w:t>/22.06.2015 г. – Констативен протокол</w:t>
            </w:r>
          </w:p>
        </w:tc>
        <w:tc>
          <w:tcPr>
            <w:tcW w:w="709" w:type="dxa"/>
          </w:tcPr>
          <w:p w:rsidR="007F7B96" w:rsidRPr="00716193" w:rsidRDefault="007F7B96" w:rsidP="00716193">
            <w:pPr>
              <w:ind w:left="-82"/>
              <w:jc w:val="center"/>
            </w:pPr>
            <w:r w:rsidRPr="00716193">
              <w:t>6</w:t>
            </w:r>
          </w:p>
        </w:tc>
      </w:tr>
      <w:tr w:rsidR="003B1753" w:rsidRPr="00716193" w:rsidTr="00716193">
        <w:tc>
          <w:tcPr>
            <w:tcW w:w="683" w:type="dxa"/>
            <w:gridSpan w:val="2"/>
          </w:tcPr>
          <w:p w:rsidR="003B1753" w:rsidRPr="009909AE" w:rsidRDefault="003B1753" w:rsidP="00716193">
            <w:pPr>
              <w:ind w:right="-102"/>
              <w:jc w:val="center"/>
              <w:rPr>
                <w:bCs/>
              </w:rPr>
            </w:pPr>
            <w:r w:rsidRPr="009909AE">
              <w:rPr>
                <w:bCs/>
              </w:rPr>
              <w:t>89</w:t>
            </w:r>
          </w:p>
        </w:tc>
        <w:tc>
          <w:tcPr>
            <w:tcW w:w="8214" w:type="dxa"/>
          </w:tcPr>
          <w:p w:rsidR="003B1753" w:rsidRPr="00716193" w:rsidRDefault="003B1753" w:rsidP="00716193">
            <w:pPr>
              <w:tabs>
                <w:tab w:val="left" w:pos="5728"/>
              </w:tabs>
              <w:ind w:left="-114" w:right="-80"/>
              <w:jc w:val="both"/>
            </w:pPr>
            <w:r w:rsidRPr="00716193">
              <w:t>РД-И-1.34-2</w:t>
            </w:r>
            <w:r w:rsidRPr="00716193">
              <w:rPr>
                <w:lang w:val="en-US"/>
              </w:rPr>
              <w:t>(</w:t>
            </w:r>
            <w:r w:rsidRPr="00716193">
              <w:t>21</w:t>
            </w:r>
            <w:r w:rsidRPr="00716193">
              <w:rPr>
                <w:lang w:val="en-US"/>
              </w:rPr>
              <w:t>)</w:t>
            </w:r>
            <w:r w:rsidRPr="00716193">
              <w:t>/15.07.2015 г. – Констативен протокол</w:t>
            </w:r>
          </w:p>
        </w:tc>
        <w:tc>
          <w:tcPr>
            <w:tcW w:w="709" w:type="dxa"/>
          </w:tcPr>
          <w:p w:rsidR="003B1753" w:rsidRPr="00716193" w:rsidRDefault="003B1753" w:rsidP="00716193">
            <w:pPr>
              <w:ind w:left="-82"/>
              <w:jc w:val="center"/>
            </w:pPr>
            <w:r w:rsidRPr="00716193">
              <w:t>10</w:t>
            </w:r>
          </w:p>
        </w:tc>
      </w:tr>
      <w:tr w:rsidR="004C3230" w:rsidRPr="00716193" w:rsidTr="00716193">
        <w:tc>
          <w:tcPr>
            <w:tcW w:w="683" w:type="dxa"/>
            <w:gridSpan w:val="2"/>
          </w:tcPr>
          <w:p w:rsidR="004C3230" w:rsidRPr="009909AE" w:rsidRDefault="004C3230" w:rsidP="00716193">
            <w:pPr>
              <w:ind w:right="-102"/>
              <w:jc w:val="center"/>
              <w:rPr>
                <w:bCs/>
              </w:rPr>
            </w:pPr>
            <w:r w:rsidRPr="009909AE">
              <w:rPr>
                <w:bCs/>
              </w:rPr>
              <w:t>90</w:t>
            </w:r>
          </w:p>
        </w:tc>
        <w:tc>
          <w:tcPr>
            <w:tcW w:w="8214" w:type="dxa"/>
          </w:tcPr>
          <w:p w:rsidR="004C3230" w:rsidRPr="00716193" w:rsidRDefault="004C3230" w:rsidP="00716193">
            <w:pPr>
              <w:tabs>
                <w:tab w:val="left" w:pos="5728"/>
              </w:tabs>
              <w:ind w:left="-114" w:right="-80"/>
              <w:jc w:val="both"/>
            </w:pPr>
            <w:r w:rsidRPr="00716193">
              <w:t>РД-И-1.34-2</w:t>
            </w:r>
            <w:r w:rsidRPr="00716193">
              <w:rPr>
                <w:lang w:val="en-US"/>
              </w:rPr>
              <w:t>(</w:t>
            </w:r>
            <w:r w:rsidRPr="00716193">
              <w:t>22</w:t>
            </w:r>
            <w:r w:rsidRPr="00716193">
              <w:rPr>
                <w:lang w:val="en-US"/>
              </w:rPr>
              <w:t>)</w:t>
            </w:r>
            <w:r w:rsidRPr="00716193">
              <w:t>/15.07.2015 г. – Констативен протокол</w:t>
            </w:r>
          </w:p>
        </w:tc>
        <w:tc>
          <w:tcPr>
            <w:tcW w:w="709" w:type="dxa"/>
          </w:tcPr>
          <w:p w:rsidR="004C3230" w:rsidRPr="00716193" w:rsidRDefault="004C3230" w:rsidP="00716193">
            <w:pPr>
              <w:ind w:left="-82"/>
              <w:jc w:val="center"/>
            </w:pPr>
            <w:r w:rsidRPr="00716193">
              <w:t>7</w:t>
            </w:r>
          </w:p>
        </w:tc>
      </w:tr>
      <w:tr w:rsidR="008116FB" w:rsidRPr="00716193" w:rsidTr="00716193">
        <w:tc>
          <w:tcPr>
            <w:tcW w:w="683" w:type="dxa"/>
            <w:gridSpan w:val="2"/>
          </w:tcPr>
          <w:p w:rsidR="008116FB" w:rsidRPr="009909AE" w:rsidRDefault="00A70642" w:rsidP="00716193">
            <w:pPr>
              <w:ind w:right="-102"/>
              <w:jc w:val="center"/>
              <w:rPr>
                <w:bCs/>
              </w:rPr>
            </w:pPr>
            <w:r w:rsidRPr="009909AE">
              <w:rPr>
                <w:bCs/>
              </w:rPr>
              <w:t>91</w:t>
            </w:r>
          </w:p>
        </w:tc>
        <w:tc>
          <w:tcPr>
            <w:tcW w:w="8214" w:type="dxa"/>
          </w:tcPr>
          <w:p w:rsidR="008116FB" w:rsidRPr="00716193" w:rsidRDefault="00A70642" w:rsidP="00716193">
            <w:pPr>
              <w:tabs>
                <w:tab w:val="left" w:pos="5728"/>
              </w:tabs>
              <w:ind w:left="-114" w:right="-80"/>
              <w:jc w:val="both"/>
            </w:pPr>
            <w:r w:rsidRPr="00716193">
              <w:t>РД-И-1.34-2</w:t>
            </w:r>
            <w:r w:rsidRPr="00716193">
              <w:rPr>
                <w:lang w:val="en-US"/>
              </w:rPr>
              <w:t>(</w:t>
            </w:r>
            <w:r w:rsidRPr="00716193">
              <w:t>29</w:t>
            </w:r>
            <w:r w:rsidRPr="00716193">
              <w:rPr>
                <w:lang w:val="en-US"/>
              </w:rPr>
              <w:t>)</w:t>
            </w:r>
            <w:r w:rsidRPr="00716193">
              <w:t>/22.06.2015 г. – Констативен протокол</w:t>
            </w:r>
          </w:p>
        </w:tc>
        <w:tc>
          <w:tcPr>
            <w:tcW w:w="709" w:type="dxa"/>
          </w:tcPr>
          <w:p w:rsidR="008116FB" w:rsidRPr="00716193" w:rsidRDefault="00A70642" w:rsidP="00716193">
            <w:pPr>
              <w:ind w:left="-82"/>
              <w:jc w:val="center"/>
            </w:pPr>
            <w:r w:rsidRPr="00716193">
              <w:t>12</w:t>
            </w:r>
          </w:p>
        </w:tc>
      </w:tr>
      <w:tr w:rsidR="00A70642" w:rsidRPr="00716193" w:rsidTr="00716193">
        <w:tc>
          <w:tcPr>
            <w:tcW w:w="683" w:type="dxa"/>
            <w:gridSpan w:val="2"/>
          </w:tcPr>
          <w:p w:rsidR="00A70642" w:rsidRPr="009909AE" w:rsidRDefault="00A70642" w:rsidP="00716193">
            <w:pPr>
              <w:ind w:right="-102"/>
              <w:jc w:val="center"/>
              <w:rPr>
                <w:bCs/>
              </w:rPr>
            </w:pPr>
            <w:r w:rsidRPr="009909AE">
              <w:rPr>
                <w:bCs/>
              </w:rPr>
              <w:t>92</w:t>
            </w:r>
          </w:p>
        </w:tc>
        <w:tc>
          <w:tcPr>
            <w:tcW w:w="8214" w:type="dxa"/>
          </w:tcPr>
          <w:p w:rsidR="00A70642" w:rsidRPr="00716193" w:rsidRDefault="00A70642" w:rsidP="00716193">
            <w:pPr>
              <w:tabs>
                <w:tab w:val="left" w:pos="5728"/>
              </w:tabs>
              <w:ind w:left="-114" w:right="-80"/>
              <w:jc w:val="both"/>
            </w:pPr>
            <w:r w:rsidRPr="00716193">
              <w:t>РД-И-1.34-2</w:t>
            </w:r>
            <w:r w:rsidRPr="00716193">
              <w:rPr>
                <w:lang w:val="en-US"/>
              </w:rPr>
              <w:t>(</w:t>
            </w:r>
            <w:r w:rsidRPr="00716193">
              <w:t>15</w:t>
            </w:r>
            <w:r w:rsidRPr="00716193">
              <w:rPr>
                <w:lang w:val="en-US"/>
              </w:rPr>
              <w:t>)</w:t>
            </w:r>
            <w:r w:rsidRPr="00716193">
              <w:t>/22.06.2015 г. – Констативен протокол</w:t>
            </w:r>
          </w:p>
        </w:tc>
        <w:tc>
          <w:tcPr>
            <w:tcW w:w="709" w:type="dxa"/>
          </w:tcPr>
          <w:p w:rsidR="00A70642" w:rsidRPr="00716193" w:rsidRDefault="00A70642" w:rsidP="00716193">
            <w:pPr>
              <w:ind w:left="-82"/>
              <w:jc w:val="center"/>
            </w:pPr>
            <w:r w:rsidRPr="00716193">
              <w:t>8</w:t>
            </w:r>
          </w:p>
        </w:tc>
      </w:tr>
      <w:tr w:rsidR="00A70642" w:rsidRPr="00716193" w:rsidTr="00716193">
        <w:tc>
          <w:tcPr>
            <w:tcW w:w="683" w:type="dxa"/>
            <w:gridSpan w:val="2"/>
          </w:tcPr>
          <w:p w:rsidR="00A70642" w:rsidRPr="009909AE" w:rsidRDefault="00A70642" w:rsidP="00716193">
            <w:pPr>
              <w:ind w:right="-102"/>
              <w:jc w:val="center"/>
              <w:rPr>
                <w:bCs/>
              </w:rPr>
            </w:pPr>
            <w:r w:rsidRPr="009909AE">
              <w:rPr>
                <w:bCs/>
              </w:rPr>
              <w:t>93</w:t>
            </w:r>
          </w:p>
        </w:tc>
        <w:tc>
          <w:tcPr>
            <w:tcW w:w="8214" w:type="dxa"/>
          </w:tcPr>
          <w:p w:rsidR="00A70642" w:rsidRPr="00716193" w:rsidRDefault="00A70642" w:rsidP="00716193">
            <w:pPr>
              <w:tabs>
                <w:tab w:val="left" w:pos="5728"/>
              </w:tabs>
              <w:ind w:left="-114" w:right="-80"/>
              <w:jc w:val="both"/>
            </w:pPr>
            <w:r w:rsidRPr="00716193">
              <w:t>РД-И-1.34-2</w:t>
            </w:r>
            <w:r w:rsidRPr="00716193">
              <w:rPr>
                <w:lang w:val="en-US"/>
              </w:rPr>
              <w:t>(</w:t>
            </w:r>
            <w:r w:rsidRPr="00716193">
              <w:t>16</w:t>
            </w:r>
            <w:r w:rsidRPr="00716193">
              <w:rPr>
                <w:lang w:val="en-US"/>
              </w:rPr>
              <w:t>)</w:t>
            </w:r>
            <w:r w:rsidRPr="00716193">
              <w:t>/22.06.2015 г. – Констативен протокол</w:t>
            </w:r>
          </w:p>
        </w:tc>
        <w:tc>
          <w:tcPr>
            <w:tcW w:w="709" w:type="dxa"/>
          </w:tcPr>
          <w:p w:rsidR="00A70642" w:rsidRPr="00716193" w:rsidRDefault="00A70642" w:rsidP="00716193">
            <w:pPr>
              <w:ind w:left="-82"/>
              <w:jc w:val="center"/>
            </w:pPr>
            <w:r w:rsidRPr="00716193">
              <w:t>8</w:t>
            </w:r>
          </w:p>
        </w:tc>
      </w:tr>
      <w:tr w:rsidR="00463BA7" w:rsidRPr="00716193" w:rsidTr="00716193">
        <w:tc>
          <w:tcPr>
            <w:tcW w:w="683" w:type="dxa"/>
            <w:gridSpan w:val="2"/>
          </w:tcPr>
          <w:p w:rsidR="00463BA7" w:rsidRPr="009909AE" w:rsidRDefault="00463BA7" w:rsidP="00716193">
            <w:pPr>
              <w:ind w:right="-102"/>
              <w:jc w:val="center"/>
              <w:rPr>
                <w:bCs/>
              </w:rPr>
            </w:pPr>
            <w:r w:rsidRPr="009909AE">
              <w:rPr>
                <w:bCs/>
              </w:rPr>
              <w:t>94</w:t>
            </w:r>
          </w:p>
        </w:tc>
        <w:tc>
          <w:tcPr>
            <w:tcW w:w="8214" w:type="dxa"/>
          </w:tcPr>
          <w:p w:rsidR="00463BA7" w:rsidRPr="00716193" w:rsidRDefault="00463BA7" w:rsidP="00716193">
            <w:pPr>
              <w:tabs>
                <w:tab w:val="left" w:pos="5728"/>
              </w:tabs>
              <w:ind w:left="-114" w:right="-80"/>
              <w:jc w:val="both"/>
            </w:pPr>
            <w:r w:rsidRPr="00716193">
              <w:t>РД-И-1.34-2</w:t>
            </w:r>
            <w:r w:rsidRPr="00716193">
              <w:rPr>
                <w:lang w:val="en-US"/>
              </w:rPr>
              <w:t>(</w:t>
            </w:r>
            <w:r w:rsidRPr="00716193">
              <w:t>28</w:t>
            </w:r>
            <w:r w:rsidRPr="00716193">
              <w:rPr>
                <w:lang w:val="en-US"/>
              </w:rPr>
              <w:t>)</w:t>
            </w:r>
            <w:r w:rsidRPr="00716193">
              <w:t>/22.06.2015 г. – Констативен протокол</w:t>
            </w:r>
          </w:p>
        </w:tc>
        <w:tc>
          <w:tcPr>
            <w:tcW w:w="709" w:type="dxa"/>
          </w:tcPr>
          <w:p w:rsidR="00463BA7" w:rsidRPr="00716193" w:rsidRDefault="00463BA7" w:rsidP="00716193">
            <w:pPr>
              <w:ind w:left="-82"/>
              <w:jc w:val="center"/>
            </w:pPr>
            <w:r w:rsidRPr="00716193">
              <w:t>9</w:t>
            </w:r>
          </w:p>
        </w:tc>
      </w:tr>
      <w:tr w:rsidR="00463BA7" w:rsidRPr="00716193" w:rsidTr="00716193">
        <w:tc>
          <w:tcPr>
            <w:tcW w:w="683" w:type="dxa"/>
            <w:gridSpan w:val="2"/>
          </w:tcPr>
          <w:p w:rsidR="00463BA7" w:rsidRPr="009909AE" w:rsidRDefault="00463BA7" w:rsidP="00716193">
            <w:pPr>
              <w:ind w:right="-102"/>
              <w:jc w:val="center"/>
              <w:rPr>
                <w:bCs/>
              </w:rPr>
            </w:pPr>
            <w:r w:rsidRPr="009909AE">
              <w:rPr>
                <w:bCs/>
              </w:rPr>
              <w:t>95</w:t>
            </w:r>
          </w:p>
        </w:tc>
        <w:tc>
          <w:tcPr>
            <w:tcW w:w="8214" w:type="dxa"/>
          </w:tcPr>
          <w:p w:rsidR="00463BA7" w:rsidRPr="00716193" w:rsidRDefault="00463BA7" w:rsidP="00716193">
            <w:pPr>
              <w:tabs>
                <w:tab w:val="left" w:pos="5728"/>
              </w:tabs>
              <w:ind w:left="-114" w:right="-80"/>
              <w:jc w:val="both"/>
            </w:pPr>
            <w:r w:rsidRPr="00716193">
              <w:t>РД-И-1.34-2</w:t>
            </w:r>
            <w:r w:rsidRPr="00716193">
              <w:rPr>
                <w:lang w:val="en-US"/>
              </w:rPr>
              <w:t>(</w:t>
            </w:r>
            <w:r w:rsidR="00C763E4" w:rsidRPr="00716193">
              <w:t>31</w:t>
            </w:r>
            <w:r w:rsidRPr="00716193">
              <w:rPr>
                <w:lang w:val="en-US"/>
              </w:rPr>
              <w:t>)</w:t>
            </w:r>
            <w:r w:rsidRPr="00716193">
              <w:t>/</w:t>
            </w:r>
            <w:r w:rsidR="00C763E4" w:rsidRPr="00716193">
              <w:t>15</w:t>
            </w:r>
            <w:r w:rsidRPr="00716193">
              <w:t>.0</w:t>
            </w:r>
            <w:r w:rsidR="00C763E4" w:rsidRPr="00716193">
              <w:t>7</w:t>
            </w:r>
            <w:r w:rsidRPr="00716193">
              <w:t>.2015 г. – Констативен протокол</w:t>
            </w:r>
          </w:p>
        </w:tc>
        <w:tc>
          <w:tcPr>
            <w:tcW w:w="709" w:type="dxa"/>
          </w:tcPr>
          <w:p w:rsidR="00463BA7" w:rsidRPr="00716193" w:rsidRDefault="00390DE7" w:rsidP="00716193">
            <w:pPr>
              <w:ind w:left="-82"/>
              <w:jc w:val="center"/>
            </w:pPr>
            <w:r w:rsidRPr="00716193">
              <w:t>8</w:t>
            </w:r>
          </w:p>
        </w:tc>
      </w:tr>
      <w:tr w:rsidR="008116FB" w:rsidRPr="00716193" w:rsidTr="00716193">
        <w:tc>
          <w:tcPr>
            <w:tcW w:w="683" w:type="dxa"/>
            <w:gridSpan w:val="2"/>
          </w:tcPr>
          <w:p w:rsidR="008116FB" w:rsidRPr="009909AE" w:rsidRDefault="00D946A9" w:rsidP="00716193">
            <w:pPr>
              <w:ind w:right="-102"/>
              <w:jc w:val="center"/>
              <w:rPr>
                <w:bCs/>
              </w:rPr>
            </w:pPr>
            <w:r w:rsidRPr="009909AE">
              <w:rPr>
                <w:bCs/>
              </w:rPr>
              <w:t>96</w:t>
            </w:r>
          </w:p>
        </w:tc>
        <w:tc>
          <w:tcPr>
            <w:tcW w:w="8214" w:type="dxa"/>
          </w:tcPr>
          <w:p w:rsidR="008116FB" w:rsidRPr="00716193" w:rsidRDefault="00531273" w:rsidP="00716193">
            <w:pPr>
              <w:tabs>
                <w:tab w:val="left" w:pos="5728"/>
              </w:tabs>
              <w:ind w:left="-114" w:right="-80"/>
              <w:jc w:val="both"/>
            </w:pPr>
            <w:r w:rsidRPr="00716193">
              <w:t>РД-И-1.2</w:t>
            </w:r>
            <w:r w:rsidRPr="00716193">
              <w:rPr>
                <w:lang w:val="en-US"/>
              </w:rPr>
              <w:t>(</w:t>
            </w:r>
            <w:r w:rsidRPr="00716193">
              <w:t>11</w:t>
            </w:r>
            <w:r w:rsidRPr="00716193">
              <w:rPr>
                <w:lang w:val="en-US"/>
              </w:rPr>
              <w:t>)</w:t>
            </w:r>
            <w:r w:rsidRPr="00716193">
              <w:t xml:space="preserve">/15.06.2015 г. – Писмо до изпълнителния директор, вх. на </w:t>
            </w:r>
            <w:r w:rsidR="00DF1F75" w:rsidRPr="00716193">
              <w:t>„</w:t>
            </w:r>
            <w:r w:rsidRPr="00716193">
              <w:t>НСБ</w:t>
            </w:r>
            <w:r w:rsidR="00DF1F75" w:rsidRPr="00716193">
              <w:t>“</w:t>
            </w:r>
            <w:r w:rsidRPr="00716193">
              <w:t xml:space="preserve"> ЕАД № 15-57-1/15.06.2015 г. и </w:t>
            </w:r>
            <w:r w:rsidR="00091866" w:rsidRPr="00716193">
              <w:t xml:space="preserve">Писмо до изпълнителния директор на </w:t>
            </w:r>
            <w:r w:rsidR="00DF1F75" w:rsidRPr="00716193">
              <w:t>„</w:t>
            </w:r>
            <w:r w:rsidR="00091866" w:rsidRPr="00716193">
              <w:t>НСБ</w:t>
            </w:r>
            <w:r w:rsidR="00DF1F75" w:rsidRPr="00716193">
              <w:t>“</w:t>
            </w:r>
            <w:r w:rsidR="00091866" w:rsidRPr="00716193">
              <w:t xml:space="preserve"> ЕАД, вх. № 15-57-1/26.06.2015 г., от Ръководител „ФСО“ на </w:t>
            </w:r>
            <w:r w:rsidR="00DF1F75" w:rsidRPr="00716193">
              <w:t>„</w:t>
            </w:r>
            <w:r w:rsidR="00091866" w:rsidRPr="00716193">
              <w:t>НСБ</w:t>
            </w:r>
            <w:r w:rsidR="00DF1F75" w:rsidRPr="00716193">
              <w:t>“</w:t>
            </w:r>
            <w:r w:rsidR="00091866" w:rsidRPr="00716193">
              <w:t xml:space="preserve"> ЕАД</w:t>
            </w:r>
          </w:p>
        </w:tc>
        <w:tc>
          <w:tcPr>
            <w:tcW w:w="709" w:type="dxa"/>
          </w:tcPr>
          <w:p w:rsidR="008116FB" w:rsidRPr="00716193" w:rsidRDefault="00531273" w:rsidP="00716193">
            <w:pPr>
              <w:ind w:left="-82"/>
              <w:jc w:val="center"/>
            </w:pPr>
            <w:r w:rsidRPr="00716193">
              <w:t>2</w:t>
            </w:r>
          </w:p>
        </w:tc>
      </w:tr>
      <w:tr w:rsidR="008116FB" w:rsidRPr="00716193" w:rsidTr="00716193">
        <w:tc>
          <w:tcPr>
            <w:tcW w:w="683" w:type="dxa"/>
            <w:gridSpan w:val="2"/>
          </w:tcPr>
          <w:p w:rsidR="008116FB" w:rsidRPr="009909AE" w:rsidRDefault="00F83E04" w:rsidP="00716193">
            <w:pPr>
              <w:ind w:right="-102"/>
              <w:jc w:val="center"/>
              <w:rPr>
                <w:bCs/>
              </w:rPr>
            </w:pPr>
            <w:r w:rsidRPr="009909AE">
              <w:rPr>
                <w:bCs/>
              </w:rPr>
              <w:t>97</w:t>
            </w:r>
          </w:p>
        </w:tc>
        <w:tc>
          <w:tcPr>
            <w:tcW w:w="8214" w:type="dxa"/>
          </w:tcPr>
          <w:p w:rsidR="008116FB" w:rsidRPr="00716193" w:rsidRDefault="00F83E04" w:rsidP="00716193">
            <w:pPr>
              <w:tabs>
                <w:tab w:val="left" w:pos="5728"/>
              </w:tabs>
              <w:ind w:left="-114" w:right="-80"/>
              <w:jc w:val="both"/>
            </w:pPr>
            <w:r w:rsidRPr="00716193">
              <w:t xml:space="preserve">Функционална характеристика на отдел „Правен“ </w:t>
            </w:r>
          </w:p>
        </w:tc>
        <w:tc>
          <w:tcPr>
            <w:tcW w:w="709" w:type="dxa"/>
          </w:tcPr>
          <w:p w:rsidR="008116FB" w:rsidRPr="00716193" w:rsidRDefault="00F83E04" w:rsidP="00716193">
            <w:pPr>
              <w:ind w:left="-82"/>
              <w:jc w:val="center"/>
            </w:pPr>
            <w:r w:rsidRPr="00716193">
              <w:t>2</w:t>
            </w:r>
          </w:p>
        </w:tc>
      </w:tr>
      <w:tr w:rsidR="008116FB" w:rsidRPr="00716193" w:rsidTr="00716193">
        <w:tc>
          <w:tcPr>
            <w:tcW w:w="683" w:type="dxa"/>
            <w:gridSpan w:val="2"/>
          </w:tcPr>
          <w:p w:rsidR="008116FB" w:rsidRPr="009909AE" w:rsidRDefault="00E72A4D" w:rsidP="00716193">
            <w:pPr>
              <w:ind w:right="-102"/>
              <w:jc w:val="center"/>
              <w:rPr>
                <w:bCs/>
              </w:rPr>
            </w:pPr>
            <w:r w:rsidRPr="009909AE">
              <w:rPr>
                <w:bCs/>
              </w:rPr>
              <w:t>98</w:t>
            </w:r>
          </w:p>
        </w:tc>
        <w:tc>
          <w:tcPr>
            <w:tcW w:w="8214" w:type="dxa"/>
          </w:tcPr>
          <w:p w:rsidR="008116FB" w:rsidRPr="00716193" w:rsidRDefault="00E72A4D" w:rsidP="00716193">
            <w:pPr>
              <w:tabs>
                <w:tab w:val="left" w:pos="5728"/>
              </w:tabs>
              <w:ind w:left="-114" w:right="-80"/>
              <w:jc w:val="both"/>
            </w:pPr>
            <w:r w:rsidRPr="00716193">
              <w:t>Справка за приходите от наеми през 2013 г.</w:t>
            </w:r>
            <w:r w:rsidR="00A35F40" w:rsidRPr="00716193">
              <w:t xml:space="preserve"> </w:t>
            </w:r>
            <w:r w:rsidRPr="00716193">
              <w:t>- с/ка 703 и Справка за приходите от наеми през 2014 г.</w:t>
            </w:r>
            <w:r w:rsidR="00A35F40" w:rsidRPr="00716193">
              <w:t xml:space="preserve"> </w:t>
            </w:r>
            <w:r w:rsidRPr="00716193">
              <w:t>- с/ка 703</w:t>
            </w:r>
          </w:p>
        </w:tc>
        <w:tc>
          <w:tcPr>
            <w:tcW w:w="709" w:type="dxa"/>
          </w:tcPr>
          <w:p w:rsidR="008116FB" w:rsidRPr="00716193" w:rsidRDefault="004A5A72" w:rsidP="00716193">
            <w:pPr>
              <w:ind w:left="-82"/>
              <w:jc w:val="center"/>
            </w:pPr>
            <w:r w:rsidRPr="00716193">
              <w:t>12</w:t>
            </w:r>
          </w:p>
        </w:tc>
      </w:tr>
      <w:tr w:rsidR="008116FB" w:rsidRPr="00716193" w:rsidTr="00716193">
        <w:tc>
          <w:tcPr>
            <w:tcW w:w="683" w:type="dxa"/>
            <w:gridSpan w:val="2"/>
          </w:tcPr>
          <w:p w:rsidR="008116FB" w:rsidRPr="009909AE" w:rsidRDefault="001025AD" w:rsidP="00716193">
            <w:pPr>
              <w:ind w:right="-102"/>
              <w:jc w:val="center"/>
              <w:rPr>
                <w:bCs/>
              </w:rPr>
            </w:pPr>
            <w:r w:rsidRPr="009909AE">
              <w:rPr>
                <w:bCs/>
              </w:rPr>
              <w:t>99</w:t>
            </w:r>
          </w:p>
        </w:tc>
        <w:tc>
          <w:tcPr>
            <w:tcW w:w="8214" w:type="dxa"/>
          </w:tcPr>
          <w:p w:rsidR="008116FB" w:rsidRPr="00716193" w:rsidRDefault="00630CCD" w:rsidP="00716193">
            <w:pPr>
              <w:tabs>
                <w:tab w:val="left" w:pos="5728"/>
              </w:tabs>
              <w:ind w:left="-114" w:right="-80"/>
              <w:jc w:val="both"/>
            </w:pPr>
            <w:r w:rsidRPr="00716193">
              <w:t xml:space="preserve">Длъжностни характеристики на: длъжността „експерт наемно договорни отношения“ към дирекция „Административни дейности“,  длъжността „експерт, управление на собствеността“ към отдел „Управление на спортни имоти собственост на </w:t>
            </w:r>
            <w:r w:rsidR="00DF1F75" w:rsidRPr="00716193">
              <w:t>„</w:t>
            </w:r>
            <w:r w:rsidRPr="00716193">
              <w:t>НСБ</w:t>
            </w:r>
            <w:r w:rsidR="00DF1F75" w:rsidRPr="00716193">
              <w:t>“</w:t>
            </w:r>
            <w:r w:rsidRPr="00716193">
              <w:t xml:space="preserve"> ЕАД“, длъжността „юрисконсулт“ към отдел „Правен“</w:t>
            </w:r>
            <w:r w:rsidR="000E6028" w:rsidRPr="00716193">
              <w:t>, длъжността „директор дирекция „Финансово стопанска дейност“</w:t>
            </w:r>
            <w:r w:rsidRPr="00716193">
              <w:t xml:space="preserve"> </w:t>
            </w:r>
          </w:p>
        </w:tc>
        <w:tc>
          <w:tcPr>
            <w:tcW w:w="709" w:type="dxa"/>
          </w:tcPr>
          <w:p w:rsidR="008116FB" w:rsidRPr="00716193" w:rsidRDefault="000E6028" w:rsidP="00716193">
            <w:pPr>
              <w:ind w:left="-82"/>
              <w:jc w:val="center"/>
            </w:pPr>
            <w:r w:rsidRPr="00716193">
              <w:t>17</w:t>
            </w:r>
          </w:p>
        </w:tc>
      </w:tr>
      <w:tr w:rsidR="008116FB" w:rsidRPr="00716193" w:rsidTr="00716193">
        <w:tc>
          <w:tcPr>
            <w:tcW w:w="683" w:type="dxa"/>
            <w:gridSpan w:val="2"/>
          </w:tcPr>
          <w:p w:rsidR="008116FB" w:rsidRPr="009909AE" w:rsidRDefault="00506E00" w:rsidP="00716193">
            <w:pPr>
              <w:ind w:right="-102"/>
              <w:jc w:val="center"/>
              <w:rPr>
                <w:bCs/>
              </w:rPr>
            </w:pPr>
            <w:r w:rsidRPr="009909AE">
              <w:rPr>
                <w:bCs/>
              </w:rPr>
              <w:t>100</w:t>
            </w:r>
          </w:p>
        </w:tc>
        <w:tc>
          <w:tcPr>
            <w:tcW w:w="8214" w:type="dxa"/>
          </w:tcPr>
          <w:p w:rsidR="008116FB" w:rsidRPr="00716193" w:rsidRDefault="00506E00" w:rsidP="00716193">
            <w:pPr>
              <w:tabs>
                <w:tab w:val="left" w:pos="5728"/>
              </w:tabs>
              <w:ind w:left="-114" w:right="-80"/>
              <w:jc w:val="both"/>
            </w:pPr>
            <w:r w:rsidRPr="00716193">
              <w:t xml:space="preserve">Счетоводна политика и Индивидуален сметкоплан на </w:t>
            </w:r>
            <w:r w:rsidR="00DF1F75" w:rsidRPr="00716193">
              <w:t>„</w:t>
            </w:r>
            <w:r w:rsidRPr="00716193">
              <w:t>НСБ</w:t>
            </w:r>
            <w:r w:rsidR="00DF1F75" w:rsidRPr="00716193">
              <w:t>“</w:t>
            </w:r>
            <w:r w:rsidRPr="00716193">
              <w:t xml:space="preserve"> ЕАД </w:t>
            </w:r>
          </w:p>
        </w:tc>
        <w:tc>
          <w:tcPr>
            <w:tcW w:w="709" w:type="dxa"/>
          </w:tcPr>
          <w:p w:rsidR="008116FB" w:rsidRPr="00716193" w:rsidRDefault="009C2C78" w:rsidP="00716193">
            <w:pPr>
              <w:ind w:left="-82"/>
              <w:jc w:val="center"/>
            </w:pPr>
            <w:r w:rsidRPr="00716193">
              <w:t>51</w:t>
            </w:r>
          </w:p>
        </w:tc>
      </w:tr>
      <w:tr w:rsidR="00975452" w:rsidRPr="00716193" w:rsidTr="00716193">
        <w:tc>
          <w:tcPr>
            <w:tcW w:w="683" w:type="dxa"/>
            <w:gridSpan w:val="2"/>
          </w:tcPr>
          <w:p w:rsidR="00975452" w:rsidRPr="009909AE" w:rsidRDefault="00BC7B5A" w:rsidP="00716193">
            <w:pPr>
              <w:ind w:right="-102"/>
              <w:jc w:val="center"/>
              <w:rPr>
                <w:bCs/>
              </w:rPr>
            </w:pPr>
            <w:r w:rsidRPr="009909AE">
              <w:rPr>
                <w:bCs/>
              </w:rPr>
              <w:t>101</w:t>
            </w:r>
          </w:p>
        </w:tc>
        <w:tc>
          <w:tcPr>
            <w:tcW w:w="8214" w:type="dxa"/>
          </w:tcPr>
          <w:p w:rsidR="00975452" w:rsidRPr="00716193" w:rsidRDefault="000C7185" w:rsidP="00716193">
            <w:pPr>
              <w:tabs>
                <w:tab w:val="left" w:pos="5728"/>
              </w:tabs>
              <w:ind w:left="-114" w:right="-80"/>
              <w:jc w:val="both"/>
            </w:pPr>
            <w:r w:rsidRPr="00716193">
              <w:t xml:space="preserve">Протокол № 241 от 29.01.2015 г. на Съвета на директорите, Заповед № 15-299-2/02.02.2015 г. </w:t>
            </w:r>
            <w:r w:rsidR="006C2BAA" w:rsidRPr="00716193">
              <w:t xml:space="preserve">на изпълнителния директор </w:t>
            </w:r>
            <w:r w:rsidRPr="00716193">
              <w:t xml:space="preserve">за утвърждаване на Система от правила, касаещи начина и реда за провеждане на състезателни процедури относно отдаването под наем на дълготрайни материални активи/или движими вещи, собственост на </w:t>
            </w:r>
            <w:r w:rsidR="00DF1F75" w:rsidRPr="00716193">
              <w:t>„</w:t>
            </w:r>
            <w:r w:rsidRPr="00716193">
              <w:t>НСБ</w:t>
            </w:r>
            <w:r w:rsidR="00DF1F75" w:rsidRPr="00716193">
              <w:t>“</w:t>
            </w:r>
            <w:r w:rsidRPr="00716193">
              <w:t xml:space="preserve"> ЕАД,</w:t>
            </w:r>
            <w:r w:rsidR="007A3E88" w:rsidRPr="00716193">
              <w:t xml:space="preserve"> с приложена Системата; част от Политика по управление на човешките ресурси, в т.ч. Етичен кодекс; Протокол № 242 от 26.02.2015 г. на Съвета на директорите; </w:t>
            </w:r>
            <w:r w:rsidRPr="00716193">
              <w:t>Заповед № 15</w:t>
            </w:r>
            <w:r w:rsidR="007A3E88" w:rsidRPr="00716193">
              <w:t xml:space="preserve">-514-1/27.02.2015 г. </w:t>
            </w:r>
            <w:r w:rsidR="006C2BAA" w:rsidRPr="00716193">
              <w:t xml:space="preserve">на изпълнителния директор </w:t>
            </w:r>
            <w:r w:rsidR="007A3E88" w:rsidRPr="00716193">
              <w:t>за утвърждаване на Счетоводна политика и Индивидуален сметкоплан</w:t>
            </w:r>
          </w:p>
        </w:tc>
        <w:tc>
          <w:tcPr>
            <w:tcW w:w="709" w:type="dxa"/>
          </w:tcPr>
          <w:p w:rsidR="00975452" w:rsidRPr="00716193" w:rsidRDefault="00E701D7" w:rsidP="00716193">
            <w:pPr>
              <w:ind w:left="-82"/>
              <w:jc w:val="center"/>
            </w:pPr>
            <w:r w:rsidRPr="00716193">
              <w:t>86</w:t>
            </w:r>
          </w:p>
        </w:tc>
      </w:tr>
      <w:tr w:rsidR="00456BFC" w:rsidRPr="00716193" w:rsidTr="00716193">
        <w:tc>
          <w:tcPr>
            <w:tcW w:w="683" w:type="dxa"/>
            <w:gridSpan w:val="2"/>
          </w:tcPr>
          <w:p w:rsidR="00456BFC" w:rsidRPr="009909AE" w:rsidRDefault="00456BFC" w:rsidP="00716193">
            <w:pPr>
              <w:ind w:right="-102"/>
              <w:jc w:val="center"/>
              <w:rPr>
                <w:bCs/>
                <w:lang w:val="en-US"/>
              </w:rPr>
            </w:pPr>
            <w:r w:rsidRPr="009909AE">
              <w:rPr>
                <w:bCs/>
                <w:lang w:val="en-US"/>
              </w:rPr>
              <w:t>102</w:t>
            </w:r>
          </w:p>
        </w:tc>
        <w:tc>
          <w:tcPr>
            <w:tcW w:w="8214" w:type="dxa"/>
          </w:tcPr>
          <w:p w:rsidR="00456BFC" w:rsidRPr="00716193" w:rsidRDefault="00456BFC" w:rsidP="00716193">
            <w:pPr>
              <w:tabs>
                <w:tab w:val="left" w:pos="5728"/>
              </w:tabs>
              <w:ind w:left="-114" w:right="-80"/>
              <w:jc w:val="both"/>
            </w:pPr>
            <w:r w:rsidRPr="00716193">
              <w:t>Справка – списък от Регистъра на Агенцията по обществени поръчки за проведените процедури по обществени поръчки от „НСБ” ЕАД</w:t>
            </w:r>
          </w:p>
        </w:tc>
        <w:tc>
          <w:tcPr>
            <w:tcW w:w="709" w:type="dxa"/>
          </w:tcPr>
          <w:p w:rsidR="00456BFC" w:rsidRPr="00716193" w:rsidRDefault="00456BFC" w:rsidP="00716193">
            <w:pPr>
              <w:ind w:left="-82"/>
              <w:jc w:val="center"/>
            </w:pPr>
            <w:r w:rsidRPr="00716193">
              <w:t>2</w:t>
            </w:r>
          </w:p>
        </w:tc>
      </w:tr>
      <w:tr w:rsidR="00456BFC" w:rsidRPr="00716193" w:rsidTr="00716193">
        <w:tc>
          <w:tcPr>
            <w:tcW w:w="683" w:type="dxa"/>
            <w:gridSpan w:val="2"/>
          </w:tcPr>
          <w:p w:rsidR="00456BFC" w:rsidRPr="009909AE" w:rsidRDefault="00456BFC" w:rsidP="00716193">
            <w:pPr>
              <w:ind w:right="-102"/>
              <w:jc w:val="center"/>
              <w:rPr>
                <w:bCs/>
              </w:rPr>
            </w:pPr>
            <w:r w:rsidRPr="009909AE">
              <w:rPr>
                <w:bCs/>
              </w:rPr>
              <w:t>103</w:t>
            </w:r>
          </w:p>
        </w:tc>
        <w:tc>
          <w:tcPr>
            <w:tcW w:w="8214" w:type="dxa"/>
          </w:tcPr>
          <w:p w:rsidR="00456BFC" w:rsidRPr="00716193" w:rsidRDefault="00456BFC" w:rsidP="00716193">
            <w:pPr>
              <w:tabs>
                <w:tab w:val="left" w:pos="5728"/>
              </w:tabs>
              <w:ind w:left="-114" w:right="-80"/>
              <w:jc w:val="both"/>
            </w:pPr>
            <w:r w:rsidRPr="00716193">
              <w:t>Справка за проведени процедури от „НСБ” ЕАД по възлагане на обществени поръчки за периода от 01.01.2013 г. до 31.12.2014 г.</w:t>
            </w:r>
          </w:p>
        </w:tc>
        <w:tc>
          <w:tcPr>
            <w:tcW w:w="709" w:type="dxa"/>
          </w:tcPr>
          <w:p w:rsidR="00456BFC" w:rsidRPr="00716193" w:rsidRDefault="00456BFC" w:rsidP="00716193">
            <w:pPr>
              <w:ind w:left="-82"/>
              <w:jc w:val="center"/>
            </w:pPr>
            <w:r w:rsidRPr="00716193">
              <w:t>1</w:t>
            </w:r>
          </w:p>
        </w:tc>
      </w:tr>
      <w:tr w:rsidR="00456BFC" w:rsidRPr="00716193" w:rsidTr="00716193">
        <w:tc>
          <w:tcPr>
            <w:tcW w:w="683" w:type="dxa"/>
            <w:gridSpan w:val="2"/>
          </w:tcPr>
          <w:p w:rsidR="00456BFC" w:rsidRPr="009909AE" w:rsidRDefault="00456BFC" w:rsidP="00716193">
            <w:pPr>
              <w:ind w:right="-102"/>
              <w:jc w:val="center"/>
              <w:rPr>
                <w:bCs/>
              </w:rPr>
            </w:pPr>
            <w:r w:rsidRPr="009909AE">
              <w:rPr>
                <w:bCs/>
              </w:rPr>
              <w:t>104</w:t>
            </w:r>
          </w:p>
        </w:tc>
        <w:tc>
          <w:tcPr>
            <w:tcW w:w="8214" w:type="dxa"/>
          </w:tcPr>
          <w:p w:rsidR="00456BFC" w:rsidRPr="00716193" w:rsidRDefault="00456BFC" w:rsidP="00716193">
            <w:pPr>
              <w:tabs>
                <w:tab w:val="left" w:pos="5728"/>
              </w:tabs>
              <w:ind w:left="-114" w:right="-80"/>
              <w:jc w:val="both"/>
            </w:pPr>
            <w:r w:rsidRPr="00716193">
              <w:t>Справка за обществени поръчки, възложени по реда на глава 8”а” от ЗОП от „НСБ” ЕАД за периода от 01.01.2013 г. до 31.12.2014 г.</w:t>
            </w:r>
          </w:p>
        </w:tc>
        <w:tc>
          <w:tcPr>
            <w:tcW w:w="709" w:type="dxa"/>
          </w:tcPr>
          <w:p w:rsidR="00456BFC" w:rsidRPr="00716193" w:rsidRDefault="00456BFC" w:rsidP="00716193">
            <w:pPr>
              <w:ind w:left="-82"/>
              <w:jc w:val="center"/>
            </w:pPr>
            <w:r w:rsidRPr="00716193">
              <w:t>1</w:t>
            </w:r>
          </w:p>
        </w:tc>
      </w:tr>
      <w:tr w:rsidR="00456BFC" w:rsidRPr="00716193" w:rsidTr="00716193">
        <w:tc>
          <w:tcPr>
            <w:tcW w:w="683" w:type="dxa"/>
            <w:gridSpan w:val="2"/>
          </w:tcPr>
          <w:p w:rsidR="00456BFC" w:rsidRPr="009909AE" w:rsidRDefault="00456BFC" w:rsidP="00716193">
            <w:pPr>
              <w:ind w:right="-102"/>
              <w:jc w:val="center"/>
              <w:rPr>
                <w:bCs/>
              </w:rPr>
            </w:pPr>
            <w:r w:rsidRPr="009909AE">
              <w:rPr>
                <w:bCs/>
              </w:rPr>
              <w:t>105</w:t>
            </w:r>
          </w:p>
        </w:tc>
        <w:tc>
          <w:tcPr>
            <w:tcW w:w="8214" w:type="dxa"/>
          </w:tcPr>
          <w:p w:rsidR="00456BFC" w:rsidRPr="00716193" w:rsidRDefault="00456BFC" w:rsidP="00716193">
            <w:pPr>
              <w:pStyle w:val="FootnoteText"/>
              <w:tabs>
                <w:tab w:val="left" w:pos="5728"/>
              </w:tabs>
              <w:ind w:left="-114" w:right="-80"/>
              <w:jc w:val="both"/>
            </w:pPr>
            <w:r w:rsidRPr="00716193">
              <w:rPr>
                <w:sz w:val="24"/>
                <w:szCs w:val="24"/>
              </w:rPr>
              <w:t xml:space="preserve">Вътрешни правила за провеждане на процедури по възлагане на обществени поръчки, в сила от 01.03.2013 г.; Решение на СД, отразено в Пр. № </w:t>
            </w:r>
            <w:r w:rsidRPr="00716193">
              <w:rPr>
                <w:sz w:val="24"/>
                <w:szCs w:val="24"/>
              </w:rPr>
              <w:lastRenderedPageBreak/>
              <w:t>209/26.02.2013 г., изм. с Протокол № 215/29.07.2013 г.; Заповед № 13-000167-2/26.02.2013 г. на изп. директор, длъжн. х-ки на експерти и специалисти ЗОП – 2 бр.</w:t>
            </w:r>
          </w:p>
        </w:tc>
        <w:tc>
          <w:tcPr>
            <w:tcW w:w="709" w:type="dxa"/>
          </w:tcPr>
          <w:p w:rsidR="00456BFC" w:rsidRPr="00716193" w:rsidRDefault="00456BFC" w:rsidP="00716193">
            <w:pPr>
              <w:ind w:left="-82"/>
              <w:jc w:val="center"/>
            </w:pPr>
            <w:r w:rsidRPr="00716193">
              <w:lastRenderedPageBreak/>
              <w:t>50</w:t>
            </w:r>
          </w:p>
        </w:tc>
      </w:tr>
      <w:tr w:rsidR="00456BFC" w:rsidRPr="00716193" w:rsidTr="00716193">
        <w:tc>
          <w:tcPr>
            <w:tcW w:w="683" w:type="dxa"/>
            <w:gridSpan w:val="2"/>
          </w:tcPr>
          <w:p w:rsidR="00456BFC" w:rsidRPr="009909AE" w:rsidRDefault="00456BFC" w:rsidP="00716193">
            <w:pPr>
              <w:ind w:right="-102"/>
              <w:jc w:val="center"/>
              <w:rPr>
                <w:bCs/>
              </w:rPr>
            </w:pPr>
            <w:r w:rsidRPr="009909AE">
              <w:rPr>
                <w:bCs/>
              </w:rPr>
              <w:lastRenderedPageBreak/>
              <w:t>106</w:t>
            </w:r>
          </w:p>
        </w:tc>
        <w:tc>
          <w:tcPr>
            <w:tcW w:w="8214" w:type="dxa"/>
          </w:tcPr>
          <w:p w:rsidR="00456BFC" w:rsidRPr="00716193" w:rsidRDefault="00456BFC" w:rsidP="00716193">
            <w:pPr>
              <w:pStyle w:val="FootnoteText"/>
              <w:tabs>
                <w:tab w:val="left" w:pos="5728"/>
              </w:tabs>
              <w:ind w:left="-114" w:right="-80"/>
              <w:jc w:val="both"/>
            </w:pPr>
            <w:r w:rsidRPr="00716193">
              <w:rPr>
                <w:sz w:val="24"/>
                <w:szCs w:val="24"/>
              </w:rPr>
              <w:t>Вътрешни правила за провеждане на процедури по възлагане на обществени поръчки, утвърдени със заповед на изпълнителния директор на дружеството, утвърдени със Заповед № 15-299-2/02.02.2015 г.</w:t>
            </w:r>
          </w:p>
        </w:tc>
        <w:tc>
          <w:tcPr>
            <w:tcW w:w="709" w:type="dxa"/>
          </w:tcPr>
          <w:p w:rsidR="00456BFC" w:rsidRPr="00716193" w:rsidRDefault="00456BFC" w:rsidP="00716193">
            <w:pPr>
              <w:ind w:left="-82"/>
              <w:jc w:val="center"/>
            </w:pPr>
            <w:r w:rsidRPr="00716193">
              <w:t>20</w:t>
            </w:r>
          </w:p>
        </w:tc>
      </w:tr>
      <w:tr w:rsidR="00456BFC" w:rsidRPr="00716193" w:rsidTr="00716193">
        <w:tc>
          <w:tcPr>
            <w:tcW w:w="683" w:type="dxa"/>
            <w:gridSpan w:val="2"/>
          </w:tcPr>
          <w:p w:rsidR="00456BFC" w:rsidRPr="009909AE" w:rsidRDefault="00456BFC" w:rsidP="00716193">
            <w:pPr>
              <w:ind w:right="-102"/>
              <w:jc w:val="center"/>
              <w:rPr>
                <w:bCs/>
              </w:rPr>
            </w:pPr>
            <w:r w:rsidRPr="009909AE">
              <w:rPr>
                <w:bCs/>
              </w:rPr>
              <w:t>107</w:t>
            </w:r>
          </w:p>
        </w:tc>
        <w:tc>
          <w:tcPr>
            <w:tcW w:w="8214" w:type="dxa"/>
          </w:tcPr>
          <w:p w:rsidR="00456BFC" w:rsidRPr="00716193" w:rsidRDefault="00456BFC" w:rsidP="00716193">
            <w:pPr>
              <w:tabs>
                <w:tab w:val="left" w:pos="5728"/>
              </w:tabs>
              <w:ind w:left="-114" w:right="-80"/>
              <w:jc w:val="both"/>
            </w:pPr>
            <w:r w:rsidRPr="00716193">
              <w:t xml:space="preserve">Констативен протокол от 19.06.2015 г. за документиране на резултатите от извършена проверка на процеса на планиране  </w:t>
            </w:r>
          </w:p>
        </w:tc>
        <w:tc>
          <w:tcPr>
            <w:tcW w:w="709" w:type="dxa"/>
          </w:tcPr>
          <w:p w:rsidR="00456BFC" w:rsidRPr="00716193" w:rsidRDefault="00456BFC" w:rsidP="00716193">
            <w:pPr>
              <w:ind w:left="-82"/>
              <w:jc w:val="center"/>
            </w:pPr>
            <w:r w:rsidRPr="00716193">
              <w:t>2</w:t>
            </w:r>
          </w:p>
        </w:tc>
      </w:tr>
      <w:tr w:rsidR="00456BFC" w:rsidRPr="00716193" w:rsidTr="00716193">
        <w:tc>
          <w:tcPr>
            <w:tcW w:w="683" w:type="dxa"/>
            <w:gridSpan w:val="2"/>
          </w:tcPr>
          <w:p w:rsidR="00456BFC" w:rsidRPr="009909AE" w:rsidRDefault="00456BFC" w:rsidP="00716193">
            <w:pPr>
              <w:ind w:right="-102"/>
              <w:jc w:val="center"/>
              <w:rPr>
                <w:bCs/>
              </w:rPr>
            </w:pPr>
            <w:r w:rsidRPr="009909AE">
              <w:rPr>
                <w:bCs/>
              </w:rPr>
              <w:t>108</w:t>
            </w:r>
          </w:p>
        </w:tc>
        <w:tc>
          <w:tcPr>
            <w:tcW w:w="8214" w:type="dxa"/>
          </w:tcPr>
          <w:p w:rsidR="00456BFC" w:rsidRPr="00716193" w:rsidRDefault="00456BFC" w:rsidP="00716193">
            <w:pPr>
              <w:tabs>
                <w:tab w:val="left" w:pos="5728"/>
              </w:tabs>
              <w:ind w:left="-114" w:right="-80"/>
              <w:jc w:val="both"/>
            </w:pPr>
            <w:r w:rsidRPr="00716193">
              <w:t>Справка за възложителите и упълномощените от тях лица, които организират и провеждат процедури за възлагане на обществени поръчки и сключват договорите за тях в „НСБ” ЕАД, и за лицата с право на електронен подпис, за периода 01.01.2013 г. – 31.12.2014 г., изх. № 15-0057</w:t>
            </w:r>
            <w:r w:rsidRPr="00716193">
              <w:rPr>
                <w:lang w:val="en-US"/>
              </w:rPr>
              <w:t>-</w:t>
            </w:r>
            <w:r w:rsidRPr="00716193">
              <w:t>1/09.07.2015 г.</w:t>
            </w:r>
          </w:p>
        </w:tc>
        <w:tc>
          <w:tcPr>
            <w:tcW w:w="709" w:type="dxa"/>
          </w:tcPr>
          <w:p w:rsidR="00456BFC" w:rsidRPr="00716193" w:rsidRDefault="00456BFC" w:rsidP="00716193">
            <w:pPr>
              <w:ind w:left="-82"/>
              <w:jc w:val="center"/>
            </w:pPr>
            <w:r w:rsidRPr="00716193">
              <w:t>1</w:t>
            </w:r>
          </w:p>
        </w:tc>
      </w:tr>
      <w:tr w:rsidR="00456BFC" w:rsidRPr="00716193" w:rsidTr="00716193">
        <w:tc>
          <w:tcPr>
            <w:tcW w:w="683" w:type="dxa"/>
            <w:gridSpan w:val="2"/>
          </w:tcPr>
          <w:p w:rsidR="00456BFC" w:rsidRPr="009909AE" w:rsidRDefault="00456BFC" w:rsidP="00716193">
            <w:pPr>
              <w:ind w:right="-102"/>
              <w:jc w:val="center"/>
              <w:rPr>
                <w:bCs/>
              </w:rPr>
            </w:pPr>
            <w:r w:rsidRPr="009909AE">
              <w:rPr>
                <w:bCs/>
              </w:rPr>
              <w:t>109</w:t>
            </w:r>
          </w:p>
        </w:tc>
        <w:tc>
          <w:tcPr>
            <w:tcW w:w="8214" w:type="dxa"/>
          </w:tcPr>
          <w:p w:rsidR="00456BFC" w:rsidRPr="00716193" w:rsidRDefault="00456BFC" w:rsidP="00716193">
            <w:pPr>
              <w:tabs>
                <w:tab w:val="left" w:pos="5728"/>
              </w:tabs>
              <w:ind w:left="-114" w:right="-80"/>
              <w:jc w:val="both"/>
            </w:pPr>
            <w:r w:rsidRPr="00716193">
              <w:t>Договор № 13-2445-1 със Сдружение „Център за обществени поръчки”</w:t>
            </w:r>
          </w:p>
        </w:tc>
        <w:tc>
          <w:tcPr>
            <w:tcW w:w="709" w:type="dxa"/>
          </w:tcPr>
          <w:p w:rsidR="00456BFC" w:rsidRPr="00716193" w:rsidRDefault="00456BFC" w:rsidP="00716193">
            <w:pPr>
              <w:ind w:left="-82"/>
              <w:jc w:val="center"/>
            </w:pPr>
            <w:r w:rsidRPr="00716193">
              <w:t>4</w:t>
            </w:r>
          </w:p>
        </w:tc>
      </w:tr>
      <w:tr w:rsidR="00456BFC" w:rsidRPr="00716193" w:rsidTr="00716193">
        <w:tc>
          <w:tcPr>
            <w:tcW w:w="683" w:type="dxa"/>
            <w:gridSpan w:val="2"/>
          </w:tcPr>
          <w:p w:rsidR="00456BFC" w:rsidRPr="009909AE" w:rsidRDefault="00456BFC" w:rsidP="00716193">
            <w:pPr>
              <w:ind w:right="-102"/>
              <w:jc w:val="center"/>
              <w:rPr>
                <w:bCs/>
              </w:rPr>
            </w:pPr>
            <w:r w:rsidRPr="009909AE">
              <w:rPr>
                <w:bCs/>
              </w:rPr>
              <w:t>110</w:t>
            </w:r>
          </w:p>
        </w:tc>
        <w:tc>
          <w:tcPr>
            <w:tcW w:w="8214" w:type="dxa"/>
          </w:tcPr>
          <w:p w:rsidR="00456BFC" w:rsidRPr="00716193" w:rsidRDefault="00456BFC" w:rsidP="00716193">
            <w:pPr>
              <w:pStyle w:val="FootnoteText"/>
              <w:tabs>
                <w:tab w:val="left" w:pos="5728"/>
              </w:tabs>
              <w:ind w:left="-114" w:right="-80"/>
              <w:jc w:val="both"/>
            </w:pPr>
            <w:r w:rsidRPr="00716193">
              <w:rPr>
                <w:sz w:val="24"/>
                <w:szCs w:val="24"/>
              </w:rPr>
              <w:t>Заповед № 13-000916-1/19.04.2013 г. на изпълнителния директор за утвърждаване на Вътрешни правила за изграждане и функциониране на СФУК (ВПИФСФУК)</w:t>
            </w:r>
          </w:p>
        </w:tc>
        <w:tc>
          <w:tcPr>
            <w:tcW w:w="709" w:type="dxa"/>
          </w:tcPr>
          <w:p w:rsidR="00456BFC" w:rsidRPr="00716193" w:rsidRDefault="00456BFC" w:rsidP="00716193">
            <w:pPr>
              <w:ind w:left="-82"/>
              <w:jc w:val="center"/>
            </w:pPr>
            <w:r w:rsidRPr="00716193">
              <w:t>1</w:t>
            </w:r>
          </w:p>
        </w:tc>
      </w:tr>
      <w:tr w:rsidR="00456BFC" w:rsidRPr="00716193" w:rsidTr="00716193">
        <w:tc>
          <w:tcPr>
            <w:tcW w:w="683" w:type="dxa"/>
            <w:gridSpan w:val="2"/>
          </w:tcPr>
          <w:p w:rsidR="00456BFC" w:rsidRPr="009909AE" w:rsidRDefault="00456BFC" w:rsidP="00716193">
            <w:pPr>
              <w:ind w:right="-102"/>
              <w:jc w:val="center"/>
              <w:rPr>
                <w:bCs/>
              </w:rPr>
            </w:pPr>
            <w:r w:rsidRPr="009909AE">
              <w:rPr>
                <w:bCs/>
              </w:rPr>
              <w:t>111</w:t>
            </w:r>
          </w:p>
        </w:tc>
        <w:tc>
          <w:tcPr>
            <w:tcW w:w="8214" w:type="dxa"/>
          </w:tcPr>
          <w:p w:rsidR="00456BFC" w:rsidRPr="00716193" w:rsidRDefault="00456BFC" w:rsidP="00716193">
            <w:pPr>
              <w:pStyle w:val="FootnoteText"/>
              <w:tabs>
                <w:tab w:val="left" w:pos="5728"/>
              </w:tabs>
              <w:ind w:left="-114" w:right="-80"/>
              <w:jc w:val="both"/>
            </w:pPr>
            <w:r w:rsidRPr="00716193">
              <w:rPr>
                <w:sz w:val="24"/>
                <w:szCs w:val="24"/>
              </w:rPr>
              <w:t>Работна инструкция „Съставяне на досие на задължение/разход”</w:t>
            </w:r>
          </w:p>
        </w:tc>
        <w:tc>
          <w:tcPr>
            <w:tcW w:w="709" w:type="dxa"/>
          </w:tcPr>
          <w:p w:rsidR="00456BFC" w:rsidRPr="00716193" w:rsidRDefault="00456BFC" w:rsidP="00716193">
            <w:pPr>
              <w:ind w:left="-82"/>
              <w:jc w:val="center"/>
            </w:pPr>
            <w:r w:rsidRPr="00716193">
              <w:t>7</w:t>
            </w:r>
          </w:p>
        </w:tc>
      </w:tr>
      <w:tr w:rsidR="00456BFC" w:rsidRPr="00716193" w:rsidTr="00716193">
        <w:tc>
          <w:tcPr>
            <w:tcW w:w="683" w:type="dxa"/>
            <w:gridSpan w:val="2"/>
          </w:tcPr>
          <w:p w:rsidR="00456BFC" w:rsidRPr="009909AE" w:rsidRDefault="00456BFC" w:rsidP="00716193">
            <w:pPr>
              <w:ind w:right="-102"/>
              <w:jc w:val="center"/>
              <w:rPr>
                <w:bCs/>
              </w:rPr>
            </w:pPr>
            <w:r w:rsidRPr="009909AE">
              <w:rPr>
                <w:bCs/>
              </w:rPr>
              <w:t>112</w:t>
            </w:r>
          </w:p>
        </w:tc>
        <w:tc>
          <w:tcPr>
            <w:tcW w:w="8214" w:type="dxa"/>
          </w:tcPr>
          <w:p w:rsidR="00456BFC" w:rsidRPr="00716193" w:rsidRDefault="00456BFC" w:rsidP="00716193">
            <w:pPr>
              <w:tabs>
                <w:tab w:val="left" w:pos="5728"/>
              </w:tabs>
              <w:ind w:left="-114" w:right="-80"/>
              <w:jc w:val="both"/>
            </w:pPr>
            <w:r w:rsidRPr="00716193">
              <w:t>Вътрешни правила за поддържане профила на купувача, утвърдени със Заповед № 15-299-2/02.02.2015 г.на изп. директор</w:t>
            </w:r>
          </w:p>
        </w:tc>
        <w:tc>
          <w:tcPr>
            <w:tcW w:w="709" w:type="dxa"/>
          </w:tcPr>
          <w:p w:rsidR="00456BFC" w:rsidRPr="00716193" w:rsidRDefault="00456BFC" w:rsidP="00716193">
            <w:pPr>
              <w:ind w:left="-82"/>
              <w:jc w:val="center"/>
            </w:pPr>
            <w:r w:rsidRPr="00716193">
              <w:t>10</w:t>
            </w:r>
          </w:p>
        </w:tc>
      </w:tr>
      <w:tr w:rsidR="00456BFC" w:rsidRPr="00716193" w:rsidTr="00716193">
        <w:tc>
          <w:tcPr>
            <w:tcW w:w="683" w:type="dxa"/>
            <w:gridSpan w:val="2"/>
          </w:tcPr>
          <w:p w:rsidR="00456BFC" w:rsidRPr="009909AE" w:rsidRDefault="00456BFC" w:rsidP="00716193">
            <w:pPr>
              <w:ind w:right="-102"/>
              <w:jc w:val="center"/>
              <w:rPr>
                <w:bCs/>
              </w:rPr>
            </w:pPr>
            <w:r w:rsidRPr="009909AE">
              <w:rPr>
                <w:bCs/>
              </w:rPr>
              <w:t>113</w:t>
            </w:r>
          </w:p>
        </w:tc>
        <w:tc>
          <w:tcPr>
            <w:tcW w:w="8214" w:type="dxa"/>
          </w:tcPr>
          <w:p w:rsidR="00456BFC" w:rsidRPr="00716193" w:rsidRDefault="00456BFC" w:rsidP="00716193">
            <w:pPr>
              <w:tabs>
                <w:tab w:val="left" w:pos="5728"/>
              </w:tabs>
              <w:ind w:left="-114" w:right="-80"/>
              <w:jc w:val="both"/>
            </w:pPr>
            <w:r w:rsidRPr="00716193">
              <w:t>Обществена поръчка с предмет</w:t>
            </w:r>
            <w:r w:rsidRPr="00716193">
              <w:rPr>
                <w:lang w:val="ru-RU"/>
              </w:rPr>
              <w:t xml:space="preserve"> </w:t>
            </w:r>
            <w:r w:rsidRPr="00716193">
              <w:rPr>
                <w:i/>
              </w:rPr>
              <w:t>„</w:t>
            </w:r>
            <w:r w:rsidRPr="00716193">
              <w:t>Доставка на канцеларски материали и консумативи за принтери, факс машини и копирни машини за нуждите на „Национална спортна база” ЕАД</w:t>
            </w:r>
            <w:r w:rsidRPr="00716193">
              <w:rPr>
                <w:i/>
              </w:rPr>
              <w:t>”</w:t>
            </w:r>
            <w:r w:rsidRPr="00716193">
              <w:rPr>
                <w:i/>
                <w:lang w:val="ru-RU"/>
              </w:rPr>
              <w:t xml:space="preserve"> </w:t>
            </w:r>
            <w:r w:rsidRPr="00716193">
              <w:t>УИН 04324-2013-0002:</w:t>
            </w:r>
            <w:r w:rsidRPr="00716193">
              <w:rPr>
                <w:b/>
              </w:rPr>
              <w:t xml:space="preserve"> </w:t>
            </w:r>
            <w:r w:rsidRPr="00716193">
              <w:t>Докладна от служители на „НСБ” ЕАД, вх. № 15-000057-1/19.06.2015 г., Заповед № 13-ЗОП-01-2-1/11.12.2013 г.; запитване от участник в процедурата, № 012-11-13/15.11.2013г.; Разяснения изх. № 13-ЗОП-01-2-1/27.11.2013 г.; Регистър на по</w:t>
            </w:r>
            <w:r w:rsidR="00DC2278" w:rsidRPr="00716193">
              <w:t>с</w:t>
            </w:r>
            <w:r w:rsidRPr="00716193">
              <w:t>тъпилите оферти; Договор № 13-ЗОП-01-02-1/20.03.2014 г. с приложения; Гаранция за изпълнение, изх. № 58-023751/10.03.2014 г.; извлечение от счет. с-ка за извършени плащания по договора; платежно нареждане от 09.12.2013 г. за преведена гаранция за участие с извлечение от счет. с-ка</w:t>
            </w:r>
            <w:r w:rsidR="00FC607A" w:rsidRPr="00716193">
              <w:t xml:space="preserve"> </w:t>
            </w:r>
            <w:r w:rsidRPr="00716193">
              <w:t xml:space="preserve">499-1-3-5 за върната гаранция за участие; банкова гаранция за участие № 58-023891/10.12.2013 г.; Решение № 13-ЗОП-01-2-1/12.02.2014 г.; Протокол от изпитване № 811/09.12.2013 г. на „Роел98” ООД с приложения; Протокол от изпитване № 601/18.09.2013 г. на „Мениджмънт бизнес машин” ООД с приложения; Протокол № 1/11.12.2013 г.; Протокол № 2 от 17.01.2014 г.; Протокол № 3/24.01.2014 г./07.02.2014 г.; Заповед №13-ЗОП-01-2-1/11.12.2013 г. за назначаване на комисия  за разглеждане, оценка и класиране на постъпилите оферти; 5 бр. декларации по чл. 35, ал. 1 и ал. 2 от ЗОП; Решение от 24.10.2013 г. за промяна; Обявление за обществена поръчка; Решение №13-ЗОП-01-2-1/11.10.2013 г.  за откриване на обществена поръчка. </w:t>
            </w:r>
          </w:p>
        </w:tc>
        <w:tc>
          <w:tcPr>
            <w:tcW w:w="709" w:type="dxa"/>
          </w:tcPr>
          <w:p w:rsidR="00456BFC" w:rsidRPr="00716193" w:rsidRDefault="00456BFC" w:rsidP="00716193">
            <w:pPr>
              <w:ind w:left="-82"/>
              <w:jc w:val="center"/>
            </w:pPr>
            <w:r w:rsidRPr="00716193">
              <w:t>70</w:t>
            </w:r>
          </w:p>
        </w:tc>
      </w:tr>
      <w:tr w:rsidR="00456BFC" w:rsidRPr="00716193" w:rsidTr="00716193">
        <w:tc>
          <w:tcPr>
            <w:tcW w:w="683" w:type="dxa"/>
            <w:gridSpan w:val="2"/>
          </w:tcPr>
          <w:p w:rsidR="00456BFC" w:rsidRPr="009909AE" w:rsidRDefault="00456BFC" w:rsidP="00716193">
            <w:pPr>
              <w:ind w:right="-102"/>
              <w:jc w:val="center"/>
              <w:rPr>
                <w:bCs/>
              </w:rPr>
            </w:pPr>
            <w:r w:rsidRPr="009909AE">
              <w:rPr>
                <w:bCs/>
              </w:rPr>
              <w:t>114</w:t>
            </w:r>
          </w:p>
        </w:tc>
        <w:tc>
          <w:tcPr>
            <w:tcW w:w="8214" w:type="dxa"/>
          </w:tcPr>
          <w:p w:rsidR="00456BFC" w:rsidRPr="00716193" w:rsidRDefault="00456BFC" w:rsidP="00716193">
            <w:pPr>
              <w:tabs>
                <w:tab w:val="left" w:pos="5728"/>
              </w:tabs>
              <w:ind w:left="-114" w:right="-80"/>
              <w:jc w:val="both"/>
            </w:pPr>
            <w:r w:rsidRPr="00716193">
              <w:t>Констативен протокол от 16.07.2015 г. за проверка за съответствие с правната рамка на УИН 04324-2013-0002;</w:t>
            </w:r>
          </w:p>
        </w:tc>
        <w:tc>
          <w:tcPr>
            <w:tcW w:w="709" w:type="dxa"/>
          </w:tcPr>
          <w:p w:rsidR="00456BFC" w:rsidRPr="00716193" w:rsidRDefault="00456BFC" w:rsidP="00716193">
            <w:pPr>
              <w:ind w:left="-82"/>
              <w:jc w:val="center"/>
            </w:pPr>
            <w:r w:rsidRPr="00716193">
              <w:t>2</w:t>
            </w:r>
          </w:p>
        </w:tc>
      </w:tr>
      <w:tr w:rsidR="00456BFC" w:rsidRPr="00716193" w:rsidTr="00716193">
        <w:tc>
          <w:tcPr>
            <w:tcW w:w="683" w:type="dxa"/>
            <w:gridSpan w:val="2"/>
          </w:tcPr>
          <w:p w:rsidR="00456BFC" w:rsidRPr="009909AE" w:rsidRDefault="00456BFC" w:rsidP="00716193">
            <w:pPr>
              <w:ind w:right="-102"/>
              <w:jc w:val="center"/>
              <w:rPr>
                <w:bCs/>
              </w:rPr>
            </w:pPr>
            <w:r w:rsidRPr="009909AE">
              <w:rPr>
                <w:bCs/>
              </w:rPr>
              <w:t>115</w:t>
            </w:r>
          </w:p>
        </w:tc>
        <w:tc>
          <w:tcPr>
            <w:tcW w:w="8214" w:type="dxa"/>
          </w:tcPr>
          <w:p w:rsidR="00456BFC" w:rsidRPr="00716193" w:rsidRDefault="00456BFC" w:rsidP="00716193">
            <w:pPr>
              <w:tabs>
                <w:tab w:val="left" w:pos="5728"/>
              </w:tabs>
              <w:ind w:left="-114" w:right="-80"/>
              <w:jc w:val="both"/>
            </w:pPr>
            <w:r w:rsidRPr="00716193">
              <w:t xml:space="preserve">Открита процедура с предмет „Доставка, монтаж и пускане в редовна експлоатация на публична информационно-рекламна система от пълноцветни светодиодни екрани на Национален стадион „Васил Левски“, звено в „Национална спортна база“ ЕАД” („НСБ“ЕАД), публикувана в РОП към АОП с УИН 04324-2014-0002: Обяснение от М. Примджанов относно мотиви за прекратяване на обществената поръчка № 15-57-1/20.07.2015 г. с приложения; докладна от служители на „НСБ” ЕАД, № 15-000057-1/11.06.2015 г. с </w:t>
            </w:r>
            <w:r w:rsidRPr="00716193">
              <w:lastRenderedPageBreak/>
              <w:t>пр</w:t>
            </w:r>
            <w:r w:rsidR="00DC2278" w:rsidRPr="00716193">
              <w:t>и</w:t>
            </w:r>
            <w:r w:rsidRPr="00716193">
              <w:t>ложения; Писмо с искане на обяснения от одитния екип от 09.06.2015 г.; Решение за прекратяване № 14-ЗОП-01-6-1/28.08.2014 г.; Заповед № 14-ЗОП-01-6-1/26.08.2014 г. и Протокол от 25.08.2014 г. на назначената със заповед на изп. директор комисия; Заповед № 14-ЗОП-01-6-1/21.08.2014 г; Списък на подадените оферти; Протокол № 1 на комисията от 27.05.2014 г.; електронни писма с изпратен Протокол № 1 до участниците от 27.05.2014 г.; счетоводни извлечения за постъпили гаранции за участие и за върната гаранция на участник, преводно нареждане № П5757660 от 11.11.2014 г.; Заповед №14-ЗОП-01-06-1/27.05.2014 г. на изпълнителния директор за назначаване на комисия за разглеждане, оценка и класиране на постъпилите оферти; Декларации по чл. 35, ал. 1 и 2 от ЗОП от членовете на комисията;  Решение №14-ЗОП-01-06-1/19.05.2014 г. за промяна; Решение №14-ЗОП-01-06-1/09.04.2014 г. за промяна; Обявление за обществена поръчка по Директива 2004/18/ЕО; Решение №14-ЗОП-01-06-1/02.04.2014 г. за откриване на процедура по ЗОП</w:t>
            </w:r>
          </w:p>
        </w:tc>
        <w:tc>
          <w:tcPr>
            <w:tcW w:w="709" w:type="dxa"/>
          </w:tcPr>
          <w:p w:rsidR="00456BFC" w:rsidRPr="00716193" w:rsidRDefault="00456BFC" w:rsidP="00716193">
            <w:pPr>
              <w:ind w:left="-82"/>
              <w:jc w:val="center"/>
            </w:pPr>
            <w:r w:rsidRPr="00716193">
              <w:lastRenderedPageBreak/>
              <w:t>220</w:t>
            </w:r>
          </w:p>
        </w:tc>
      </w:tr>
      <w:tr w:rsidR="00456BFC" w:rsidRPr="00716193" w:rsidTr="00716193">
        <w:tc>
          <w:tcPr>
            <w:tcW w:w="683" w:type="dxa"/>
            <w:gridSpan w:val="2"/>
          </w:tcPr>
          <w:p w:rsidR="00456BFC" w:rsidRPr="009909AE" w:rsidRDefault="00456BFC" w:rsidP="00716193">
            <w:pPr>
              <w:ind w:right="-102"/>
              <w:jc w:val="center"/>
              <w:rPr>
                <w:bCs/>
              </w:rPr>
            </w:pPr>
            <w:r w:rsidRPr="009909AE">
              <w:rPr>
                <w:bCs/>
              </w:rPr>
              <w:lastRenderedPageBreak/>
              <w:t>116</w:t>
            </w:r>
          </w:p>
        </w:tc>
        <w:tc>
          <w:tcPr>
            <w:tcW w:w="8214" w:type="dxa"/>
          </w:tcPr>
          <w:p w:rsidR="00456BFC" w:rsidRPr="00716193" w:rsidRDefault="00456BFC" w:rsidP="00716193">
            <w:pPr>
              <w:tabs>
                <w:tab w:val="left" w:pos="5728"/>
              </w:tabs>
              <w:ind w:left="-114" w:right="-80"/>
              <w:jc w:val="both"/>
            </w:pPr>
            <w:r w:rsidRPr="00716193">
              <w:t xml:space="preserve">Констативен протокол от 24.06.2015 г. с приложения за извършена проверка </w:t>
            </w:r>
            <w:r w:rsidRPr="00716193">
              <w:rPr>
                <w:lang w:val="ru-RU"/>
              </w:rPr>
              <w:t>за съответствие с изискванията на ЗОП при възлагане на обществена поръчка</w:t>
            </w:r>
            <w:r w:rsidRPr="00716193">
              <w:t xml:space="preserve"> УИН 04324-2014-0002 (относно неизпращане на уведомление за прекратяване на поръчката)</w:t>
            </w:r>
          </w:p>
        </w:tc>
        <w:tc>
          <w:tcPr>
            <w:tcW w:w="709" w:type="dxa"/>
          </w:tcPr>
          <w:p w:rsidR="00456BFC" w:rsidRPr="00716193" w:rsidRDefault="00456BFC" w:rsidP="00716193">
            <w:pPr>
              <w:ind w:left="-82"/>
              <w:jc w:val="center"/>
            </w:pPr>
            <w:r w:rsidRPr="00716193">
              <w:t>9</w:t>
            </w:r>
          </w:p>
        </w:tc>
      </w:tr>
      <w:tr w:rsidR="00456BFC" w:rsidRPr="00716193" w:rsidTr="00716193">
        <w:tc>
          <w:tcPr>
            <w:tcW w:w="683" w:type="dxa"/>
            <w:gridSpan w:val="2"/>
          </w:tcPr>
          <w:p w:rsidR="00456BFC" w:rsidRPr="009909AE" w:rsidRDefault="00456BFC" w:rsidP="00716193">
            <w:pPr>
              <w:ind w:right="-102"/>
              <w:jc w:val="center"/>
              <w:rPr>
                <w:bCs/>
              </w:rPr>
            </w:pPr>
            <w:r w:rsidRPr="009909AE">
              <w:rPr>
                <w:bCs/>
              </w:rPr>
              <w:t>117</w:t>
            </w:r>
          </w:p>
        </w:tc>
        <w:tc>
          <w:tcPr>
            <w:tcW w:w="8214" w:type="dxa"/>
          </w:tcPr>
          <w:p w:rsidR="00456BFC" w:rsidRPr="00716193" w:rsidRDefault="00456BFC" w:rsidP="00716193">
            <w:pPr>
              <w:tabs>
                <w:tab w:val="left" w:pos="5728"/>
              </w:tabs>
              <w:ind w:left="-114" w:right="-80"/>
              <w:jc w:val="both"/>
            </w:pPr>
            <w:r w:rsidRPr="00716193">
              <w:t xml:space="preserve">Констативен протокол от 15.07.2015 г. с приложения за извършена проверка </w:t>
            </w:r>
            <w:r w:rsidRPr="00716193">
              <w:rPr>
                <w:lang w:val="ru-RU"/>
              </w:rPr>
              <w:t>за съответствие с изискванията на ЗОП при възлагане на обществена поръчка</w:t>
            </w:r>
            <w:r w:rsidRPr="00716193">
              <w:t xml:space="preserve"> УИН 04324-2014-0002 (относно гаранциите)</w:t>
            </w:r>
          </w:p>
        </w:tc>
        <w:tc>
          <w:tcPr>
            <w:tcW w:w="709" w:type="dxa"/>
          </w:tcPr>
          <w:p w:rsidR="00456BFC" w:rsidRPr="00716193" w:rsidRDefault="00456BFC" w:rsidP="00716193">
            <w:pPr>
              <w:ind w:left="-82"/>
              <w:jc w:val="center"/>
            </w:pPr>
            <w:r w:rsidRPr="00716193">
              <w:t>18</w:t>
            </w:r>
          </w:p>
        </w:tc>
      </w:tr>
      <w:tr w:rsidR="00456BFC" w:rsidRPr="00716193" w:rsidTr="00716193">
        <w:tc>
          <w:tcPr>
            <w:tcW w:w="683" w:type="dxa"/>
            <w:gridSpan w:val="2"/>
          </w:tcPr>
          <w:p w:rsidR="00456BFC" w:rsidRPr="009909AE" w:rsidRDefault="00456BFC" w:rsidP="00716193">
            <w:pPr>
              <w:ind w:right="-102"/>
              <w:jc w:val="center"/>
              <w:rPr>
                <w:bCs/>
              </w:rPr>
            </w:pPr>
            <w:r w:rsidRPr="009909AE">
              <w:rPr>
                <w:bCs/>
              </w:rPr>
              <w:t>118</w:t>
            </w:r>
          </w:p>
        </w:tc>
        <w:tc>
          <w:tcPr>
            <w:tcW w:w="8214" w:type="dxa"/>
          </w:tcPr>
          <w:p w:rsidR="00456BFC" w:rsidRPr="00716193" w:rsidRDefault="00456BFC" w:rsidP="00716193">
            <w:pPr>
              <w:tabs>
                <w:tab w:val="left" w:pos="720"/>
                <w:tab w:val="left" w:pos="5728"/>
                <w:tab w:val="left" w:pos="9360"/>
              </w:tabs>
              <w:ind w:left="-114" w:right="-80"/>
              <w:jc w:val="both"/>
            </w:pPr>
            <w:r w:rsidRPr="00716193">
              <w:t xml:space="preserve">Процедура за възлагане на обществена поръчка чрез публична покана по реда на глава осма „а“ от ЗОП (ред. ДВ, бр. 82 от 26.10.2012 г.) „Избор на обслужваща финансова и кредитна институция – Банка – Изпълнител за предоставяне на финансови услуги: „Платежни и свързани услуги” и „Свободни парични средства – депозити”, проведена през 2013 г., с прогнозна стойност 35 хил. лв.,: </w:t>
            </w:r>
          </w:p>
          <w:p w:rsidR="00456BFC" w:rsidRPr="00716193" w:rsidRDefault="00456BFC" w:rsidP="00716193">
            <w:pPr>
              <w:tabs>
                <w:tab w:val="left" w:pos="720"/>
                <w:tab w:val="left" w:pos="5728"/>
                <w:tab w:val="left" w:pos="9360"/>
              </w:tabs>
              <w:ind w:left="-114" w:right="-80"/>
              <w:jc w:val="both"/>
            </w:pPr>
            <w:r w:rsidRPr="00716193">
              <w:t>Публична покана, изх. № 13-ЗОП-09-000015-1/30.10.2013 г.; Докладна, № 15-57-1/02.06.2015 г. от служители на „НСБ” ЕАД във връзка със запитване № 15-57-1/29.05.2015 г.относно обществената поръчка от екипа на СП с приложени 12 бр. декларации от представляващите „ЦКБ” АД по чл. 47, ал.ал. 1, 2 и 5; 12 бр. декларации от представляващите „КТБ” АД по чл. 47, ал.ал. 1, 2 и 5; 9 бр. декларации от представляващите „ИНВЕСТБАНК” АД по чл. 47, ал.ал. 1, 2 и 5; 6 бр. декларации от представляващите „ЮРОБАНК” АД по чл. 47, ал.ал. 1, 2 и 5; Писма, изх. № 13-ЗОП-09-15-1/5, 4, 3, 2,1 от 25.11.2013 г. за уведомяване на участниците в процедурата за класирането; Докладна № 13-ЗОП-09-15-1/25.11.2013 г. от председателя на комисията до възложителя – изп. директор на дружеството; Заповед № 13-09-15-1/15.11.2013 г. за назначаване на комисия за разглеждане, оценка и класиране на постъпилите оферти; 5 бр. декларации по чл. 35, ал. 1 и ал. 2 от ЗОП; Списък на подадените оферти за обществени поръчки; Протокол от 15.11.2013 г. на комисията; потвърдително електронно писмо от АОП за видимост на публичната покана, разпечатка на Профила на купувача на „НСБ” ЕАД, удостоверяваща публикуваните документи от проведената процедура; публикации във в-к „Новинар” и сайта на Министерството на младежта и спорта на обявата за публичната покана;</w:t>
            </w:r>
          </w:p>
          <w:p w:rsidR="00456BFC" w:rsidRPr="00716193" w:rsidRDefault="00456BFC" w:rsidP="00716193">
            <w:pPr>
              <w:tabs>
                <w:tab w:val="left" w:pos="720"/>
                <w:tab w:val="left" w:pos="5728"/>
                <w:tab w:val="left" w:pos="9360"/>
              </w:tabs>
              <w:ind w:left="-114" w:right="-80"/>
              <w:jc w:val="both"/>
            </w:pPr>
            <w:r w:rsidRPr="00716193">
              <w:t xml:space="preserve">Рамков договор за комплексно банково обслужване № 13-ЗОП-09-15-1/29.11.2013 г. между „НСБ” ЕАД и ЦКБ” АД; Рамков договор за откриване и </w:t>
            </w:r>
            <w:r w:rsidRPr="00716193">
              <w:lastRenderedPageBreak/>
              <w:t>по</w:t>
            </w:r>
            <w:r w:rsidR="00DC2278" w:rsidRPr="00716193">
              <w:t>д</w:t>
            </w:r>
            <w:r w:rsidRPr="00716193">
              <w:t>държане на депозитни сметки № 13-ЗОП-09-15-1/29.11.2013 г. между „НСБ” ЕАД и ЦКБ” АД, Договор за изплащане на трудови и други възнаграждения по банкови и дебитни карти № 13-ЗОП-09-15-1/29.11.2013 г. между „НСБ” ЕАД и ЦКБ” АД и Анекси под № 1 към рамковия договор за откриване на разплащателни сметки от 16.03.2012 г., 22.03.2010 г., 06.02.2012 г.-2 бр., , 24.01.2012 г.-2 бр., 22.03.2010 г., 24.03.2010 г., 16.03.2012 г., , Анекс № 3от 03.12.2013 г. към Договор за депозит в евро; Рамков договор № 13-ЗОП-09-15-1/02.12.2013 г.за платежни услуги с КТБ АД, пълномощно и Анекс № 1 от 02.12.2013 г., Анекс № 2 от 02.12.2013 г.; Договор за индивидуален срочен депозит с „КТБ” АД № 13-ЗОП-09-15-1/02.12.2013 г.; Договор за комплексно банково обслужване № 13-ЗОП-09-15-1/28.11.2013 г. с „ЮРОБАНК България” АД; Договор № 13-ЗОП-09-15-1/26.03.2014 г. за изплащане на трудови възнаграждения по реда на масовите плащания чрез интернет банкиране  с „ЮРОБАНК България” АД, Договор № 13-ЗОП-09-15-1/02.12.2013 г. за разплащателна сметка с „ЮРОБАНК България” АД-2 бр.; Договор за срочен депозит с индивидуални условия, пълномощно; Рамков договор за комплексно банково обслужване № 13-ЗОП-09-15-1/29.11.2013 г. с „ИНВЕСТБАНК” АД; Договор № 13-ЗОП-09-15-1/29.11.2013 г. за откриване и водене на разплащателна сметка, Договор за депозит №23003867978009 от 29.11.2013 г., с „ИНВЕСТБАНК” АД, пълномощно;</w:t>
            </w:r>
          </w:p>
        </w:tc>
        <w:tc>
          <w:tcPr>
            <w:tcW w:w="709" w:type="dxa"/>
          </w:tcPr>
          <w:p w:rsidR="00456BFC" w:rsidRPr="00716193" w:rsidRDefault="00456BFC" w:rsidP="00716193">
            <w:pPr>
              <w:ind w:left="-82"/>
              <w:jc w:val="center"/>
            </w:pPr>
            <w:r w:rsidRPr="00716193">
              <w:rPr>
                <w:lang w:val="en-US"/>
              </w:rPr>
              <w:lastRenderedPageBreak/>
              <w:t>235</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lastRenderedPageBreak/>
              <w:t>119</w:t>
            </w:r>
          </w:p>
        </w:tc>
        <w:tc>
          <w:tcPr>
            <w:tcW w:w="8222" w:type="dxa"/>
            <w:gridSpan w:val="2"/>
          </w:tcPr>
          <w:p w:rsidR="00456BFC" w:rsidRPr="00716193" w:rsidRDefault="00456BFC" w:rsidP="00716193">
            <w:pPr>
              <w:tabs>
                <w:tab w:val="left" w:pos="720"/>
                <w:tab w:val="left" w:pos="5728"/>
                <w:tab w:val="left" w:pos="9360"/>
              </w:tabs>
              <w:ind w:left="-114" w:right="-80"/>
              <w:jc w:val="both"/>
            </w:pPr>
            <w:r w:rsidRPr="00716193">
              <w:t xml:space="preserve">Процедура за възлагане на обществена поръчка чрез публична покана по реда на глава осма „а“ от ЗОП (ред. изм. и доп., бр. 40 от 13.05.2014 г., в сила от 1.07.2014 г.) „Осигуряване на достъпна среда за хора с увреждания на Хотел 1 на ВСК „Белмекен”, като се извършат следните дейности: изграждане и монтаж на външен асансьор към фоайето на хотела; ремонт на шест броя хотелски стаи, разположени на трето ниво; ремонт на санитарни възли, съблекални и бани, находящи се в зоната на спортния комплекс” с местоизпълнение : ВСК „Белмекен”, община Якоруда, проведена през 2014 г., с прогнозна стойност 175 800 лв., без ДДС: </w:t>
            </w:r>
          </w:p>
          <w:p w:rsidR="00456BFC" w:rsidRPr="00716193" w:rsidRDefault="00456BFC" w:rsidP="00716193">
            <w:pPr>
              <w:tabs>
                <w:tab w:val="left" w:pos="720"/>
                <w:tab w:val="left" w:pos="5728"/>
                <w:tab w:val="left" w:pos="9360"/>
              </w:tabs>
              <w:ind w:left="-114" w:right="-80"/>
              <w:jc w:val="both"/>
            </w:pPr>
            <w:r w:rsidRPr="00716193">
              <w:t>Публична покана № 14-ЗОП-01-8-1/16.09.2014 г.;</w:t>
            </w:r>
          </w:p>
          <w:p w:rsidR="00456BFC" w:rsidRPr="00716193" w:rsidRDefault="00456BFC" w:rsidP="00716193">
            <w:pPr>
              <w:tabs>
                <w:tab w:val="left" w:pos="720"/>
                <w:tab w:val="left" w:pos="5728"/>
                <w:tab w:val="left" w:pos="9360"/>
              </w:tabs>
              <w:ind w:left="-114" w:right="-80"/>
              <w:jc w:val="both"/>
            </w:pPr>
            <w:r w:rsidRPr="00716193">
              <w:t>Заповед № 14-ЗОП-01-8-1/24.09.2014 г. за назначаване на комисия за разглеждане, оценка и класиране на постъпилите оферти от участници; Декларации по чл. 35, ал.1 и ал. 2 от ЗОП на членовете на комисията и председателя;</w:t>
            </w:r>
          </w:p>
          <w:p w:rsidR="00456BFC" w:rsidRPr="00716193" w:rsidRDefault="00456BFC" w:rsidP="00716193">
            <w:pPr>
              <w:tabs>
                <w:tab w:val="left" w:pos="720"/>
                <w:tab w:val="left" w:pos="5728"/>
                <w:tab w:val="left" w:pos="9360"/>
              </w:tabs>
              <w:ind w:left="-114" w:right="-80"/>
              <w:jc w:val="both"/>
            </w:pPr>
            <w:r w:rsidRPr="00716193">
              <w:t>Протокол № 14-ЗОП-01-8-1/01.10.2014 г. на комисията;</w:t>
            </w:r>
          </w:p>
          <w:p w:rsidR="00456BFC" w:rsidRPr="00716193" w:rsidRDefault="00456BFC" w:rsidP="00716193">
            <w:pPr>
              <w:tabs>
                <w:tab w:val="left" w:pos="720"/>
                <w:tab w:val="left" w:pos="5728"/>
                <w:tab w:val="left" w:pos="9360"/>
              </w:tabs>
              <w:ind w:left="-114" w:right="-80"/>
              <w:jc w:val="both"/>
            </w:pPr>
            <w:r w:rsidRPr="00716193">
              <w:t>Разпечатка от електронна поща - имейл до участници с приложен протокол на комисията – 01.10.2014 г.;</w:t>
            </w:r>
          </w:p>
          <w:p w:rsidR="00456BFC" w:rsidRPr="00716193" w:rsidRDefault="00456BFC" w:rsidP="00716193">
            <w:pPr>
              <w:tabs>
                <w:tab w:val="left" w:pos="720"/>
                <w:tab w:val="left" w:pos="5728"/>
                <w:tab w:val="left" w:pos="9360"/>
              </w:tabs>
              <w:ind w:left="-114" w:right="-80"/>
              <w:jc w:val="both"/>
            </w:pPr>
            <w:r w:rsidRPr="00716193">
              <w:t xml:space="preserve">Писмо с искане за разяснения от одитния екип на СП, № 15-57-1/29.05.2015 г.; Докладна-отговор на запитването от „НСБ” ЕАД, № 15-57-1803.06.2015 г.; Договор № 14-ЗОП-01-8-1/08.10.2014 г.с приложение количествена сметка; данни от счетов. регистри на ТД за плащанията по договора за периода 01.01.2014 – 31.12.2014 г., по представени фактури от изпълнителя; платежни нареждания № П5852361 от 03.12.2014 г. и П5935339 от 05.01.2015 г. </w:t>
            </w:r>
          </w:p>
        </w:tc>
        <w:tc>
          <w:tcPr>
            <w:tcW w:w="709" w:type="dxa"/>
          </w:tcPr>
          <w:p w:rsidR="00456BFC" w:rsidRPr="00716193" w:rsidRDefault="00456BFC" w:rsidP="00716193">
            <w:pPr>
              <w:ind w:left="-82"/>
              <w:jc w:val="center"/>
            </w:pPr>
            <w:r w:rsidRPr="00716193">
              <w:t>47</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t>120</w:t>
            </w:r>
          </w:p>
        </w:tc>
        <w:tc>
          <w:tcPr>
            <w:tcW w:w="8222" w:type="dxa"/>
            <w:gridSpan w:val="2"/>
          </w:tcPr>
          <w:p w:rsidR="00456BFC" w:rsidRPr="00716193" w:rsidRDefault="00456BFC" w:rsidP="00716193">
            <w:pPr>
              <w:tabs>
                <w:tab w:val="left" w:pos="5728"/>
              </w:tabs>
              <w:ind w:left="-114" w:right="-80"/>
              <w:jc w:val="both"/>
            </w:pPr>
            <w:r w:rsidRPr="00716193">
              <w:t>Констативен протокол от 22.06.2015 г. за проверка за изпращането в АОП на обобщена информация за всички разходвани средства във връзка с обществени поръчки на стойност по чл. 14, ал.4 и ал. 5 от ЗОП за 2013 г., с приложения към него</w:t>
            </w:r>
          </w:p>
        </w:tc>
        <w:tc>
          <w:tcPr>
            <w:tcW w:w="709" w:type="dxa"/>
          </w:tcPr>
          <w:p w:rsidR="00456BFC" w:rsidRPr="00716193" w:rsidRDefault="00456BFC" w:rsidP="00716193">
            <w:pPr>
              <w:ind w:left="-82"/>
              <w:jc w:val="center"/>
            </w:pPr>
            <w:r w:rsidRPr="00716193">
              <w:t>5</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t>121</w:t>
            </w:r>
          </w:p>
        </w:tc>
        <w:tc>
          <w:tcPr>
            <w:tcW w:w="8222" w:type="dxa"/>
            <w:gridSpan w:val="2"/>
          </w:tcPr>
          <w:p w:rsidR="00456BFC" w:rsidRPr="00716193" w:rsidRDefault="00456BFC" w:rsidP="00716193">
            <w:pPr>
              <w:tabs>
                <w:tab w:val="left" w:pos="5728"/>
              </w:tabs>
              <w:ind w:left="-114" w:right="-80"/>
              <w:jc w:val="both"/>
            </w:pPr>
            <w:r w:rsidRPr="00716193">
              <w:t xml:space="preserve">Докладна, вх. № 15-57-1/03.06.2015 г. от служители на ТД, относно наличие на </w:t>
            </w:r>
            <w:r w:rsidRPr="00716193">
              <w:lastRenderedPageBreak/>
              <w:t>обобщена информация за всички разходвани средства във връзка с обществени поръчки на ст</w:t>
            </w:r>
            <w:r w:rsidR="00DC2278" w:rsidRPr="00716193">
              <w:t>о</w:t>
            </w:r>
            <w:r w:rsidRPr="00716193">
              <w:t>йност по чл. 14, ал.4 и ал. 5 от ЗОП за 2014 г. в отговор на писмено искане от екипа на СП, № 15-57-1/29.05.2015 г.; копие на обобщена информация за всички разходвани средства във връзка с обществени поръчки на стойност по чл. 14, ал.4 и ал. 5 от ЗОП за 2014 г., изх. № 15-ЗОП-01-13-1/31.03.2015 г.;</w:t>
            </w:r>
          </w:p>
        </w:tc>
        <w:tc>
          <w:tcPr>
            <w:tcW w:w="709" w:type="dxa"/>
          </w:tcPr>
          <w:p w:rsidR="00456BFC" w:rsidRPr="00716193" w:rsidRDefault="00456BFC" w:rsidP="00716193">
            <w:pPr>
              <w:ind w:left="-82"/>
              <w:jc w:val="center"/>
            </w:pPr>
            <w:r w:rsidRPr="00716193">
              <w:lastRenderedPageBreak/>
              <w:t>7</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lastRenderedPageBreak/>
              <w:t>122</w:t>
            </w:r>
          </w:p>
        </w:tc>
        <w:tc>
          <w:tcPr>
            <w:tcW w:w="8222" w:type="dxa"/>
            <w:gridSpan w:val="2"/>
          </w:tcPr>
          <w:p w:rsidR="00456BFC" w:rsidRPr="00716193" w:rsidRDefault="00456BFC" w:rsidP="00716193">
            <w:pPr>
              <w:tabs>
                <w:tab w:val="left" w:pos="5728"/>
              </w:tabs>
              <w:ind w:left="-114" w:right="-80"/>
              <w:jc w:val="both"/>
            </w:pPr>
            <w:r w:rsidRPr="00716193">
              <w:t>Обяснение от ръководител на отдел „ФС” към „НСБ” ЕАД, № 15-855-1/22.07.2015 г. относно допусната техническа грешка в изпратената до АОП обобщена информация за всички разходвани средства във връзка с обществени поръчки на стойност по чл. 14, ал.4 и ал. 5 от ЗОП за 2014 г.</w:t>
            </w:r>
          </w:p>
        </w:tc>
        <w:tc>
          <w:tcPr>
            <w:tcW w:w="709" w:type="dxa"/>
          </w:tcPr>
          <w:p w:rsidR="00456BFC" w:rsidRPr="00716193" w:rsidRDefault="00456BFC" w:rsidP="00716193">
            <w:pPr>
              <w:ind w:left="-82"/>
              <w:jc w:val="center"/>
            </w:pPr>
            <w:r w:rsidRPr="00716193">
              <w:t>1</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t>123</w:t>
            </w:r>
          </w:p>
        </w:tc>
        <w:tc>
          <w:tcPr>
            <w:tcW w:w="8222" w:type="dxa"/>
            <w:gridSpan w:val="2"/>
          </w:tcPr>
          <w:p w:rsidR="00456BFC" w:rsidRPr="00716193" w:rsidRDefault="00456BFC" w:rsidP="00716193">
            <w:pPr>
              <w:tabs>
                <w:tab w:val="left" w:pos="5728"/>
              </w:tabs>
              <w:ind w:left="-114" w:right="-80"/>
              <w:jc w:val="both"/>
            </w:pPr>
            <w:r w:rsidRPr="00716193">
              <w:t>Констативен протокол от 22.06.2015 г. относно проверка за съответствие със ЗОП при възлагане на обществена поръчка чрез публична покана по реда на глава 8„а” от ЗОП с приложения към него</w:t>
            </w:r>
          </w:p>
        </w:tc>
        <w:tc>
          <w:tcPr>
            <w:tcW w:w="709" w:type="dxa"/>
          </w:tcPr>
          <w:p w:rsidR="00456BFC" w:rsidRPr="00716193" w:rsidRDefault="00456BFC" w:rsidP="00716193">
            <w:pPr>
              <w:ind w:left="-82"/>
              <w:jc w:val="center"/>
            </w:pPr>
            <w:r w:rsidRPr="00716193">
              <w:t>20</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t>124</w:t>
            </w:r>
          </w:p>
        </w:tc>
        <w:tc>
          <w:tcPr>
            <w:tcW w:w="8222" w:type="dxa"/>
            <w:gridSpan w:val="2"/>
          </w:tcPr>
          <w:p w:rsidR="00456BFC" w:rsidRPr="00716193" w:rsidRDefault="00456BFC" w:rsidP="00716193">
            <w:pPr>
              <w:tabs>
                <w:tab w:val="left" w:pos="5728"/>
              </w:tabs>
              <w:ind w:left="-114" w:right="-80"/>
              <w:jc w:val="both"/>
            </w:pPr>
            <w:r w:rsidRPr="00716193">
              <w:t xml:space="preserve">Заповед № 11-001478-2/23.06.2011 г. на изп. директор относно вътрешен ред за провеждане на процедури за доставки, оказване на услуги и извършване на СМР, в сила от 25.07.2011 г. </w:t>
            </w:r>
          </w:p>
        </w:tc>
        <w:tc>
          <w:tcPr>
            <w:tcW w:w="709" w:type="dxa"/>
          </w:tcPr>
          <w:p w:rsidR="00456BFC" w:rsidRPr="00716193" w:rsidRDefault="00456BFC" w:rsidP="00716193">
            <w:pPr>
              <w:ind w:left="-82"/>
              <w:jc w:val="center"/>
            </w:pPr>
            <w:r w:rsidRPr="00716193">
              <w:t>6</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t>125</w:t>
            </w:r>
          </w:p>
        </w:tc>
        <w:tc>
          <w:tcPr>
            <w:tcW w:w="8222" w:type="dxa"/>
            <w:gridSpan w:val="2"/>
          </w:tcPr>
          <w:p w:rsidR="00456BFC" w:rsidRPr="00716193" w:rsidRDefault="00456BFC" w:rsidP="00716193">
            <w:pPr>
              <w:pStyle w:val="FootnoteText"/>
              <w:tabs>
                <w:tab w:val="left" w:pos="5728"/>
              </w:tabs>
              <w:ind w:left="-114" w:right="-80"/>
              <w:jc w:val="both"/>
            </w:pPr>
            <w:r w:rsidRPr="00716193">
              <w:rPr>
                <w:sz w:val="24"/>
                <w:szCs w:val="24"/>
              </w:rPr>
              <w:t>Заповед № ФК-10-330/20.03.2015 г. на АДВФИ и писмо до министъра на младежта и спорта вх. № 07-00-218/06.01.2015 г.</w:t>
            </w:r>
          </w:p>
        </w:tc>
        <w:tc>
          <w:tcPr>
            <w:tcW w:w="709" w:type="dxa"/>
          </w:tcPr>
          <w:p w:rsidR="00456BFC" w:rsidRPr="00716193" w:rsidRDefault="00456BFC" w:rsidP="00716193">
            <w:pPr>
              <w:ind w:left="-82"/>
              <w:jc w:val="center"/>
            </w:pPr>
            <w:r w:rsidRPr="00716193">
              <w:t>2</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t>126</w:t>
            </w:r>
          </w:p>
        </w:tc>
        <w:tc>
          <w:tcPr>
            <w:tcW w:w="8222" w:type="dxa"/>
            <w:gridSpan w:val="2"/>
          </w:tcPr>
          <w:p w:rsidR="00456BFC" w:rsidRPr="00716193" w:rsidRDefault="00456BFC" w:rsidP="00716193">
            <w:pPr>
              <w:pStyle w:val="FootnoteText"/>
              <w:tabs>
                <w:tab w:val="left" w:pos="5728"/>
              </w:tabs>
              <w:ind w:left="-114" w:right="-80"/>
              <w:jc w:val="both"/>
            </w:pPr>
            <w:r w:rsidRPr="00716193">
              <w:rPr>
                <w:sz w:val="24"/>
                <w:szCs w:val="24"/>
              </w:rPr>
              <w:t>Справка - таблица за сключените договори за доставки, услуги и строителство от „НСБ” ЕАД през периода 01.01.2013 г. – 31.12.2014 г., обяснение, вх. № 15-855-1/09.07.2015 г. и 2 застр. договора №13-000137-2/14.01.2013 и 14-108-2/14.01.2014 г.</w:t>
            </w:r>
          </w:p>
        </w:tc>
        <w:tc>
          <w:tcPr>
            <w:tcW w:w="709" w:type="dxa"/>
          </w:tcPr>
          <w:p w:rsidR="00456BFC" w:rsidRPr="00716193" w:rsidRDefault="00456BFC" w:rsidP="00716193">
            <w:pPr>
              <w:ind w:left="-82"/>
              <w:jc w:val="center"/>
            </w:pPr>
            <w:r w:rsidRPr="00716193">
              <w:t>19</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t>127</w:t>
            </w:r>
          </w:p>
        </w:tc>
        <w:tc>
          <w:tcPr>
            <w:tcW w:w="8222" w:type="dxa"/>
            <w:gridSpan w:val="2"/>
          </w:tcPr>
          <w:p w:rsidR="00456BFC" w:rsidRPr="00716193" w:rsidRDefault="00456BFC" w:rsidP="00716193">
            <w:pPr>
              <w:pStyle w:val="FootnoteText"/>
              <w:tabs>
                <w:tab w:val="left" w:pos="5728"/>
              </w:tabs>
              <w:ind w:left="-114" w:right="-80"/>
              <w:jc w:val="both"/>
            </w:pPr>
            <w:r w:rsidRPr="00716193">
              <w:rPr>
                <w:sz w:val="24"/>
                <w:szCs w:val="24"/>
              </w:rPr>
              <w:t>Договор № 1</w:t>
            </w:r>
            <w:r w:rsidRPr="00716193">
              <w:rPr>
                <w:sz w:val="24"/>
                <w:szCs w:val="24"/>
                <w:lang w:val="ru-RU"/>
              </w:rPr>
              <w:t>2</w:t>
            </w:r>
            <w:r w:rsidRPr="00716193">
              <w:rPr>
                <w:sz w:val="24"/>
                <w:szCs w:val="24"/>
              </w:rPr>
              <w:t>-</w:t>
            </w:r>
            <w:r w:rsidRPr="00716193">
              <w:rPr>
                <w:sz w:val="24"/>
                <w:szCs w:val="24"/>
                <w:lang w:val="ru-RU"/>
              </w:rPr>
              <w:t>001770-1</w:t>
            </w:r>
            <w:r w:rsidRPr="00716193">
              <w:rPr>
                <w:sz w:val="24"/>
                <w:szCs w:val="24"/>
              </w:rPr>
              <w:t>/</w:t>
            </w:r>
            <w:r w:rsidRPr="00716193">
              <w:rPr>
                <w:sz w:val="24"/>
                <w:szCs w:val="24"/>
                <w:lang w:val="ru-RU"/>
              </w:rPr>
              <w:t>01.02.2013 г.</w:t>
            </w:r>
            <w:r w:rsidRPr="00716193">
              <w:rPr>
                <w:sz w:val="24"/>
                <w:szCs w:val="24"/>
              </w:rPr>
              <w:t xml:space="preserve"> с приложени извлечения от счет. с-ки и пл. </w:t>
            </w:r>
            <w:r w:rsidR="00FC607A" w:rsidRPr="00716193">
              <w:rPr>
                <w:sz w:val="24"/>
                <w:szCs w:val="24"/>
              </w:rPr>
              <w:t>н</w:t>
            </w:r>
            <w:r w:rsidRPr="00716193">
              <w:rPr>
                <w:sz w:val="24"/>
                <w:szCs w:val="24"/>
              </w:rPr>
              <w:t>ареждания; Констативен протокол от 17.07.2015 г. за резултатите от извършена проверка за съответствие на разходи за доставка на хетерогенна ПВЦ настилка</w:t>
            </w:r>
          </w:p>
        </w:tc>
        <w:tc>
          <w:tcPr>
            <w:tcW w:w="709" w:type="dxa"/>
          </w:tcPr>
          <w:p w:rsidR="00456BFC" w:rsidRPr="00716193" w:rsidRDefault="00456BFC" w:rsidP="00716193">
            <w:pPr>
              <w:ind w:left="-82"/>
              <w:jc w:val="center"/>
            </w:pPr>
            <w:r w:rsidRPr="00716193">
              <w:t>9</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t>128</w:t>
            </w:r>
          </w:p>
        </w:tc>
        <w:tc>
          <w:tcPr>
            <w:tcW w:w="8222" w:type="dxa"/>
            <w:gridSpan w:val="2"/>
          </w:tcPr>
          <w:p w:rsidR="00456BFC" w:rsidRPr="00716193" w:rsidRDefault="00456BFC" w:rsidP="00716193">
            <w:pPr>
              <w:pStyle w:val="FootnoteText"/>
              <w:tabs>
                <w:tab w:val="left" w:pos="5728"/>
              </w:tabs>
              <w:ind w:left="-114" w:right="-80"/>
              <w:jc w:val="both"/>
              <w:rPr>
                <w:sz w:val="24"/>
                <w:szCs w:val="24"/>
              </w:rPr>
            </w:pPr>
            <w:r w:rsidRPr="00716193">
              <w:rPr>
                <w:sz w:val="24"/>
                <w:szCs w:val="24"/>
              </w:rPr>
              <w:t>Договор №</w:t>
            </w:r>
            <w:r w:rsidRPr="00716193">
              <w:rPr>
                <w:bCs/>
                <w:sz w:val="24"/>
                <w:szCs w:val="24"/>
              </w:rPr>
              <w:t xml:space="preserve"> </w:t>
            </w:r>
            <w:r w:rsidRPr="00716193">
              <w:rPr>
                <w:sz w:val="24"/>
                <w:szCs w:val="24"/>
              </w:rPr>
              <w:t>13-ЗОП-05-25-1/14.10.2013 г. и Договор № 13-892-1/28.10.2013 г. с приложени извлечения от счет. с-ки и пл. нареждания; Конст. протокол от 17.07.2015 г. за извършена проверка за съответствие с правната рамка и договорите на разходите за строителни и монтажни работи (НСЗ Раковски – гр. София и ВСК „Белмекен“)</w:t>
            </w:r>
          </w:p>
        </w:tc>
        <w:tc>
          <w:tcPr>
            <w:tcW w:w="709" w:type="dxa"/>
          </w:tcPr>
          <w:p w:rsidR="00456BFC" w:rsidRPr="00716193" w:rsidRDefault="00456BFC" w:rsidP="00716193">
            <w:pPr>
              <w:ind w:left="-82"/>
              <w:jc w:val="center"/>
            </w:pPr>
            <w:r w:rsidRPr="00716193">
              <w:t>26</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t>129</w:t>
            </w:r>
          </w:p>
        </w:tc>
        <w:tc>
          <w:tcPr>
            <w:tcW w:w="8222" w:type="dxa"/>
            <w:gridSpan w:val="2"/>
          </w:tcPr>
          <w:p w:rsidR="00456BFC" w:rsidRPr="00716193" w:rsidRDefault="00456BFC" w:rsidP="00716193">
            <w:pPr>
              <w:pStyle w:val="FootnoteText"/>
              <w:tabs>
                <w:tab w:val="left" w:pos="5728"/>
              </w:tabs>
              <w:ind w:left="-114" w:right="-80"/>
              <w:jc w:val="both"/>
            </w:pPr>
            <w:r w:rsidRPr="00716193">
              <w:rPr>
                <w:sz w:val="24"/>
                <w:szCs w:val="24"/>
              </w:rPr>
              <w:t xml:space="preserve">Договор № 12-002408-1/19.02.2013 г. . с приложени извлечения от счет. с-ки и пл. нареждания; Конст. протокол от 17.07.2015 г. за извършена проверка за съответствие с правната рамка и договорите на разходите за доставка на пластмасови идентификационни и </w:t>
            </w:r>
            <w:r w:rsidRPr="00716193">
              <w:rPr>
                <w:sz w:val="24"/>
                <w:szCs w:val="24"/>
                <w:lang w:val="en-US"/>
              </w:rPr>
              <w:t>RFID</w:t>
            </w:r>
            <w:r w:rsidRPr="00716193">
              <w:rPr>
                <w:sz w:val="24"/>
                <w:szCs w:val="24"/>
              </w:rPr>
              <w:t xml:space="preserve"> карти</w:t>
            </w:r>
          </w:p>
        </w:tc>
        <w:tc>
          <w:tcPr>
            <w:tcW w:w="709" w:type="dxa"/>
          </w:tcPr>
          <w:p w:rsidR="00456BFC" w:rsidRPr="00716193" w:rsidRDefault="00456BFC" w:rsidP="00716193">
            <w:pPr>
              <w:ind w:left="-82"/>
              <w:jc w:val="center"/>
            </w:pPr>
            <w:r w:rsidRPr="00716193">
              <w:t>16</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t>130</w:t>
            </w:r>
          </w:p>
        </w:tc>
        <w:tc>
          <w:tcPr>
            <w:tcW w:w="8222" w:type="dxa"/>
            <w:gridSpan w:val="2"/>
          </w:tcPr>
          <w:p w:rsidR="00456BFC" w:rsidRPr="00716193" w:rsidRDefault="00456BFC" w:rsidP="00716193">
            <w:pPr>
              <w:pStyle w:val="FootnoteText"/>
              <w:tabs>
                <w:tab w:val="left" w:pos="5728"/>
              </w:tabs>
              <w:ind w:left="-114" w:right="-80"/>
              <w:jc w:val="both"/>
              <w:rPr>
                <w:sz w:val="24"/>
                <w:szCs w:val="24"/>
              </w:rPr>
            </w:pPr>
            <w:r w:rsidRPr="00716193">
              <w:rPr>
                <w:sz w:val="24"/>
                <w:szCs w:val="24"/>
              </w:rPr>
              <w:t>Договор № 13-ЗОП-09-17-1/13.02.2014г., Договор № 13-2424-1/13.02.2014 г.; Договор № 14-621-2/11.03.2014 г., с приложени извлечения от счет. с-ки и пл. нареждания; Конст. протокол от 17.07.2015 г. за извършена проверка за съответствие с правната рамка и договорите на разходи за изготвяне и представяне на инвестиционни проекти</w:t>
            </w:r>
          </w:p>
        </w:tc>
        <w:tc>
          <w:tcPr>
            <w:tcW w:w="709" w:type="dxa"/>
          </w:tcPr>
          <w:p w:rsidR="00456BFC" w:rsidRPr="00716193" w:rsidRDefault="00456BFC" w:rsidP="00716193">
            <w:pPr>
              <w:ind w:left="-82"/>
              <w:jc w:val="center"/>
            </w:pPr>
            <w:r w:rsidRPr="00716193">
              <w:t>25</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t>131</w:t>
            </w:r>
          </w:p>
        </w:tc>
        <w:tc>
          <w:tcPr>
            <w:tcW w:w="8222" w:type="dxa"/>
            <w:gridSpan w:val="2"/>
          </w:tcPr>
          <w:p w:rsidR="00456BFC" w:rsidRPr="00716193" w:rsidRDefault="00456BFC" w:rsidP="00716193">
            <w:pPr>
              <w:pStyle w:val="FootnoteText"/>
              <w:tabs>
                <w:tab w:val="left" w:pos="5728"/>
              </w:tabs>
              <w:ind w:left="-114" w:right="-80"/>
              <w:jc w:val="both"/>
              <w:rPr>
                <w:sz w:val="24"/>
                <w:szCs w:val="24"/>
              </w:rPr>
            </w:pPr>
            <w:r w:rsidRPr="00716193">
              <w:rPr>
                <w:sz w:val="24"/>
                <w:szCs w:val="24"/>
              </w:rPr>
              <w:t>Заверено копие на Договор № 13-000059-1/19.02.2013 г. с приложения към него; Конст. протокол от 17.07.2015 г. с приложение – Справка за платените суми от „НСБ” ЕАД към „Мобилтел” ЕАД по издадени фактури за мобилни разговори през 2013 г. и 2014 г. и ф-ра № 0268437668/19.02.2013 г. за периода 14.01.2013-13.02.2013 г.</w:t>
            </w:r>
          </w:p>
        </w:tc>
        <w:tc>
          <w:tcPr>
            <w:tcW w:w="709" w:type="dxa"/>
          </w:tcPr>
          <w:p w:rsidR="00456BFC" w:rsidRPr="00716193" w:rsidRDefault="00456BFC" w:rsidP="00716193">
            <w:pPr>
              <w:ind w:left="-82"/>
              <w:jc w:val="center"/>
            </w:pPr>
            <w:r w:rsidRPr="00716193">
              <w:t>28</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t>132</w:t>
            </w:r>
          </w:p>
        </w:tc>
        <w:tc>
          <w:tcPr>
            <w:tcW w:w="8222" w:type="dxa"/>
            <w:gridSpan w:val="2"/>
          </w:tcPr>
          <w:p w:rsidR="00456BFC" w:rsidRPr="00716193" w:rsidRDefault="00456BFC" w:rsidP="00716193">
            <w:pPr>
              <w:pStyle w:val="FootnoteText"/>
              <w:tabs>
                <w:tab w:val="left" w:pos="5728"/>
              </w:tabs>
              <w:ind w:left="-114" w:right="-80"/>
              <w:jc w:val="both"/>
              <w:rPr>
                <w:sz w:val="24"/>
                <w:szCs w:val="24"/>
              </w:rPr>
            </w:pPr>
            <w:r w:rsidRPr="00716193">
              <w:rPr>
                <w:sz w:val="24"/>
                <w:szCs w:val="24"/>
              </w:rPr>
              <w:t>Договори №</w:t>
            </w:r>
            <w:r w:rsidRPr="00716193">
              <w:rPr>
                <w:bCs/>
                <w:sz w:val="24"/>
                <w:szCs w:val="24"/>
              </w:rPr>
              <w:t xml:space="preserve"> </w:t>
            </w:r>
            <w:r w:rsidRPr="00716193">
              <w:rPr>
                <w:sz w:val="24"/>
                <w:szCs w:val="24"/>
              </w:rPr>
              <w:t>14-1328-1/25.06.2014 г. и</w:t>
            </w:r>
            <w:r w:rsidRPr="00716193">
              <w:rPr>
                <w:bCs/>
                <w:sz w:val="24"/>
                <w:szCs w:val="24"/>
              </w:rPr>
              <w:t xml:space="preserve"> № </w:t>
            </w:r>
            <w:r w:rsidRPr="00716193">
              <w:rPr>
                <w:sz w:val="24"/>
                <w:szCs w:val="24"/>
              </w:rPr>
              <w:t>1</w:t>
            </w:r>
            <w:r w:rsidRPr="00716193">
              <w:rPr>
                <w:sz w:val="24"/>
                <w:szCs w:val="24"/>
                <w:lang w:val="ru-RU"/>
              </w:rPr>
              <w:t>4</w:t>
            </w:r>
            <w:r w:rsidRPr="00716193">
              <w:rPr>
                <w:sz w:val="24"/>
                <w:szCs w:val="24"/>
              </w:rPr>
              <w:t xml:space="preserve">-1328-1/13.08.2014 г. с приложени извлечения от счет. с-ки и пл. нареждания; Конст. протокол от 17.07.2015 г. за резултатите от извършена проверка за съответствие с правната рамка и </w:t>
            </w:r>
            <w:r w:rsidRPr="00716193">
              <w:rPr>
                <w:sz w:val="24"/>
                <w:szCs w:val="24"/>
              </w:rPr>
              <w:lastRenderedPageBreak/>
              <w:t xml:space="preserve">договорите на разходите за регистриране и отразяване на обектите на НСБ </w:t>
            </w:r>
            <w:r w:rsidRPr="00716193">
              <w:rPr>
                <w:sz w:val="24"/>
                <w:szCs w:val="24"/>
                <w:lang w:val="ru-RU"/>
              </w:rPr>
              <w:t xml:space="preserve">- </w:t>
            </w:r>
            <w:r w:rsidRPr="00716193">
              <w:rPr>
                <w:sz w:val="24"/>
                <w:szCs w:val="24"/>
              </w:rPr>
              <w:t>ВСК „Белмекен“ в Картата на възстановената собственост</w:t>
            </w:r>
          </w:p>
        </w:tc>
        <w:tc>
          <w:tcPr>
            <w:tcW w:w="709" w:type="dxa"/>
          </w:tcPr>
          <w:p w:rsidR="00456BFC" w:rsidRPr="00716193" w:rsidRDefault="00456BFC" w:rsidP="00716193">
            <w:pPr>
              <w:ind w:left="-82"/>
              <w:jc w:val="center"/>
            </w:pPr>
            <w:r w:rsidRPr="00716193">
              <w:lastRenderedPageBreak/>
              <w:t>18</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lastRenderedPageBreak/>
              <w:t>133</w:t>
            </w:r>
          </w:p>
        </w:tc>
        <w:tc>
          <w:tcPr>
            <w:tcW w:w="8222" w:type="dxa"/>
            <w:gridSpan w:val="2"/>
          </w:tcPr>
          <w:p w:rsidR="00456BFC" w:rsidRPr="00716193" w:rsidRDefault="00456BFC" w:rsidP="00716193">
            <w:pPr>
              <w:pStyle w:val="FootnoteText"/>
              <w:tabs>
                <w:tab w:val="left" w:pos="5728"/>
              </w:tabs>
              <w:ind w:left="-114" w:right="-80"/>
              <w:jc w:val="both"/>
              <w:rPr>
                <w:sz w:val="24"/>
                <w:szCs w:val="24"/>
              </w:rPr>
            </w:pPr>
            <w:r w:rsidRPr="00716193">
              <w:rPr>
                <w:sz w:val="24"/>
                <w:szCs w:val="24"/>
              </w:rPr>
              <w:t>Договор № 1</w:t>
            </w:r>
            <w:r w:rsidRPr="00716193">
              <w:rPr>
                <w:sz w:val="24"/>
                <w:szCs w:val="24"/>
                <w:lang w:val="ru-RU"/>
              </w:rPr>
              <w:t>4</w:t>
            </w:r>
            <w:r w:rsidRPr="00716193">
              <w:rPr>
                <w:sz w:val="24"/>
                <w:szCs w:val="24"/>
              </w:rPr>
              <w:t>-</w:t>
            </w:r>
            <w:r w:rsidRPr="00716193">
              <w:rPr>
                <w:sz w:val="24"/>
                <w:szCs w:val="24"/>
                <w:lang w:val="ru-RU"/>
              </w:rPr>
              <w:t>637-1</w:t>
            </w:r>
            <w:r w:rsidRPr="00716193">
              <w:rPr>
                <w:sz w:val="24"/>
                <w:szCs w:val="24"/>
              </w:rPr>
              <w:t>/</w:t>
            </w:r>
            <w:r w:rsidRPr="00716193">
              <w:rPr>
                <w:sz w:val="24"/>
                <w:szCs w:val="24"/>
                <w:lang w:val="ru-RU"/>
              </w:rPr>
              <w:t>26</w:t>
            </w:r>
            <w:r w:rsidRPr="00716193">
              <w:rPr>
                <w:sz w:val="24"/>
                <w:szCs w:val="24"/>
              </w:rPr>
              <w:t>.</w:t>
            </w:r>
            <w:r w:rsidRPr="00716193">
              <w:rPr>
                <w:sz w:val="24"/>
                <w:szCs w:val="24"/>
                <w:lang w:val="ru-RU"/>
              </w:rPr>
              <w:t>03</w:t>
            </w:r>
            <w:r w:rsidRPr="00716193">
              <w:rPr>
                <w:sz w:val="24"/>
                <w:szCs w:val="24"/>
              </w:rPr>
              <w:t>.201</w:t>
            </w:r>
            <w:r w:rsidRPr="00716193">
              <w:rPr>
                <w:sz w:val="24"/>
                <w:szCs w:val="24"/>
                <w:lang w:val="ru-RU"/>
              </w:rPr>
              <w:t>4</w:t>
            </w:r>
            <w:r w:rsidRPr="00716193">
              <w:rPr>
                <w:sz w:val="24"/>
                <w:szCs w:val="24"/>
              </w:rPr>
              <w:t xml:space="preserve"> г., приложени извлечения от счет. с-ки и пл. нареждания; Конст. протокол от 17.07.2015 г. за резултатите от извършена проверка за съответствие с правната рамка и договорите на разходите за доставка на седалки, модел „Арена</w:t>
            </w:r>
            <w:r w:rsidRPr="00716193">
              <w:rPr>
                <w:sz w:val="22"/>
                <w:szCs w:val="22"/>
              </w:rPr>
              <w:t>“</w:t>
            </w:r>
          </w:p>
        </w:tc>
        <w:tc>
          <w:tcPr>
            <w:tcW w:w="709" w:type="dxa"/>
          </w:tcPr>
          <w:p w:rsidR="00456BFC" w:rsidRPr="00716193" w:rsidRDefault="00456BFC" w:rsidP="00716193">
            <w:pPr>
              <w:ind w:left="-82"/>
              <w:jc w:val="center"/>
            </w:pPr>
            <w:r w:rsidRPr="00716193">
              <w:t>9</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t>134</w:t>
            </w:r>
          </w:p>
        </w:tc>
        <w:tc>
          <w:tcPr>
            <w:tcW w:w="8222" w:type="dxa"/>
            <w:gridSpan w:val="2"/>
          </w:tcPr>
          <w:p w:rsidR="00456BFC" w:rsidRPr="00716193" w:rsidRDefault="00456BFC" w:rsidP="00716193">
            <w:pPr>
              <w:pStyle w:val="FootnoteText"/>
              <w:tabs>
                <w:tab w:val="left" w:pos="5728"/>
              </w:tabs>
              <w:ind w:left="-114" w:right="-80"/>
              <w:jc w:val="both"/>
              <w:rPr>
                <w:sz w:val="24"/>
                <w:szCs w:val="24"/>
              </w:rPr>
            </w:pPr>
            <w:r w:rsidRPr="00716193">
              <w:rPr>
                <w:sz w:val="24"/>
                <w:szCs w:val="24"/>
              </w:rPr>
              <w:t>Рамков договор № 12-001545-1 от 09.11.2012 г.; застр. полици за застраховки „Индустриален пожар“, „Гражданска отговорност” на автомобилисти, „Злополука на местата в МПС” и „Трудова злополука, на Централно управление и структурни звена на „НСБ” ЕАД за 2013 г. и 2014 г.; Констативен протокол от 17.07.2015 г. относно проверка за съответствие на сключените застрахователни полици с правната рамка</w:t>
            </w:r>
          </w:p>
        </w:tc>
        <w:tc>
          <w:tcPr>
            <w:tcW w:w="709" w:type="dxa"/>
          </w:tcPr>
          <w:p w:rsidR="00456BFC" w:rsidRPr="00716193" w:rsidRDefault="00456BFC" w:rsidP="00716193">
            <w:pPr>
              <w:ind w:left="-82"/>
              <w:jc w:val="center"/>
            </w:pPr>
            <w:r w:rsidRPr="00716193">
              <w:t>199</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t>135</w:t>
            </w:r>
          </w:p>
        </w:tc>
        <w:tc>
          <w:tcPr>
            <w:tcW w:w="8222" w:type="dxa"/>
            <w:gridSpan w:val="2"/>
          </w:tcPr>
          <w:p w:rsidR="00456BFC" w:rsidRPr="00716193" w:rsidRDefault="00456BFC" w:rsidP="00716193">
            <w:pPr>
              <w:pStyle w:val="FootnoteText"/>
              <w:tabs>
                <w:tab w:val="left" w:pos="5728"/>
              </w:tabs>
              <w:ind w:left="-114" w:right="-80"/>
              <w:jc w:val="both"/>
              <w:rPr>
                <w:sz w:val="24"/>
                <w:szCs w:val="24"/>
              </w:rPr>
            </w:pPr>
            <w:r w:rsidRPr="00716193">
              <w:rPr>
                <w:sz w:val="24"/>
                <w:szCs w:val="24"/>
              </w:rPr>
              <w:t>Договор № 11-001506-1/18.07.2011 г. за генерално спонсорство със ЗАД „Армеец”</w:t>
            </w:r>
          </w:p>
        </w:tc>
        <w:tc>
          <w:tcPr>
            <w:tcW w:w="709" w:type="dxa"/>
          </w:tcPr>
          <w:p w:rsidR="00456BFC" w:rsidRPr="00716193" w:rsidRDefault="00456BFC" w:rsidP="00716193">
            <w:pPr>
              <w:ind w:left="-82"/>
              <w:jc w:val="center"/>
            </w:pPr>
            <w:r w:rsidRPr="00716193">
              <w:t>14</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t>136</w:t>
            </w:r>
          </w:p>
        </w:tc>
        <w:tc>
          <w:tcPr>
            <w:tcW w:w="8222" w:type="dxa"/>
            <w:gridSpan w:val="2"/>
          </w:tcPr>
          <w:p w:rsidR="00456BFC" w:rsidRPr="00716193" w:rsidRDefault="00456BFC" w:rsidP="00716193">
            <w:pPr>
              <w:pStyle w:val="FootnoteText"/>
              <w:tabs>
                <w:tab w:val="left" w:pos="5728"/>
              </w:tabs>
              <w:ind w:left="-114" w:right="-80"/>
              <w:jc w:val="both"/>
              <w:rPr>
                <w:sz w:val="24"/>
                <w:szCs w:val="24"/>
              </w:rPr>
            </w:pPr>
            <w:r w:rsidRPr="00716193">
              <w:rPr>
                <w:sz w:val="24"/>
                <w:szCs w:val="24"/>
              </w:rPr>
              <w:t>Рамков договор № 11-001858-2/18.07.2012 г, Протокол № 8/24.01.2013 г.; Протокол № 9/01.03.2013 г. от 27.02.2013 г.; Конст. протокол от 17.07.2015 г. за резултатите от извършена проверка за съответствие на сключените договори за охрана от „НСБ“ ЕАД през 2013 г., с правната рамка</w:t>
            </w:r>
          </w:p>
        </w:tc>
        <w:tc>
          <w:tcPr>
            <w:tcW w:w="709" w:type="dxa"/>
          </w:tcPr>
          <w:p w:rsidR="00456BFC" w:rsidRPr="00716193" w:rsidRDefault="00456BFC" w:rsidP="00716193">
            <w:pPr>
              <w:ind w:left="-82"/>
              <w:jc w:val="center"/>
            </w:pPr>
            <w:r w:rsidRPr="00716193">
              <w:t>12</w:t>
            </w:r>
          </w:p>
        </w:tc>
      </w:tr>
      <w:tr w:rsidR="00456BFC" w:rsidRPr="00716193" w:rsidTr="009909AE">
        <w:tc>
          <w:tcPr>
            <w:tcW w:w="675" w:type="dxa"/>
          </w:tcPr>
          <w:p w:rsidR="00456BFC" w:rsidRPr="009909AE" w:rsidRDefault="00456BFC" w:rsidP="00716193">
            <w:pPr>
              <w:tabs>
                <w:tab w:val="left" w:pos="5728"/>
              </w:tabs>
              <w:ind w:left="-114" w:right="-80"/>
              <w:jc w:val="center"/>
              <w:rPr>
                <w:bCs/>
              </w:rPr>
            </w:pPr>
            <w:r w:rsidRPr="009909AE">
              <w:rPr>
                <w:bCs/>
              </w:rPr>
              <w:t>137</w:t>
            </w:r>
          </w:p>
        </w:tc>
        <w:tc>
          <w:tcPr>
            <w:tcW w:w="8222" w:type="dxa"/>
            <w:gridSpan w:val="2"/>
          </w:tcPr>
          <w:p w:rsidR="00456BFC" w:rsidRPr="00716193" w:rsidRDefault="00456BFC" w:rsidP="00716193">
            <w:pPr>
              <w:tabs>
                <w:tab w:val="left" w:pos="5728"/>
              </w:tabs>
              <w:spacing w:before="120" w:after="120"/>
              <w:ind w:left="-114" w:right="-80"/>
              <w:jc w:val="both"/>
            </w:pPr>
            <w:r w:rsidRPr="00716193">
              <w:t>Констативен протокол от 29.07.2015 г. за резултатите от извършена проверка за съответствието на създадения профил на купувача на „НСБ“ЕАД с правната рамка, с приложение – разпечатка от профила на купувача на „НСБ” ЕАД</w:t>
            </w:r>
          </w:p>
        </w:tc>
        <w:tc>
          <w:tcPr>
            <w:tcW w:w="709" w:type="dxa"/>
          </w:tcPr>
          <w:p w:rsidR="00456BFC" w:rsidRPr="00716193" w:rsidRDefault="00456BFC" w:rsidP="00716193">
            <w:pPr>
              <w:ind w:left="-82"/>
              <w:jc w:val="center"/>
            </w:pPr>
            <w:r w:rsidRPr="00716193">
              <w:t>34</w:t>
            </w:r>
          </w:p>
        </w:tc>
      </w:tr>
    </w:tbl>
    <w:p w:rsidR="00FB3DDD" w:rsidRPr="00716193" w:rsidRDefault="000367EC" w:rsidP="000367EC">
      <w:pPr>
        <w:spacing w:after="360"/>
      </w:pPr>
      <w:r w:rsidRPr="00716193">
        <w:t xml:space="preserve"> </w:t>
      </w:r>
    </w:p>
    <w:p w:rsidR="00FB3DDD" w:rsidRDefault="00FB3DDD" w:rsidP="00FB3DDD">
      <w:pPr>
        <w:spacing w:before="840"/>
        <w:ind w:firstLine="4502"/>
        <w:jc w:val="both"/>
        <w:rPr>
          <w:lang w:val="en-US"/>
        </w:rPr>
      </w:pPr>
    </w:p>
    <w:p w:rsidR="001320B1" w:rsidRDefault="001320B1" w:rsidP="00FB3DDD">
      <w:pPr>
        <w:spacing w:before="840"/>
        <w:ind w:firstLine="4502"/>
        <w:jc w:val="both"/>
        <w:rPr>
          <w:lang w:val="en-US"/>
        </w:rPr>
      </w:pPr>
    </w:p>
    <w:p w:rsidR="001320B1" w:rsidRDefault="001320B1" w:rsidP="00FB3DDD">
      <w:pPr>
        <w:spacing w:before="840"/>
        <w:ind w:firstLine="4502"/>
        <w:jc w:val="both"/>
        <w:rPr>
          <w:lang w:val="en-US"/>
        </w:rPr>
      </w:pPr>
    </w:p>
    <w:p w:rsidR="001320B1" w:rsidRDefault="001320B1" w:rsidP="00FB3DDD">
      <w:pPr>
        <w:spacing w:before="840"/>
        <w:ind w:firstLine="4502"/>
        <w:jc w:val="both"/>
        <w:rPr>
          <w:lang w:val="en-US"/>
        </w:rPr>
      </w:pPr>
    </w:p>
    <w:p w:rsidR="001320B1" w:rsidRDefault="001320B1" w:rsidP="00FB3DDD">
      <w:pPr>
        <w:spacing w:before="840"/>
        <w:ind w:firstLine="4502"/>
        <w:jc w:val="both"/>
        <w:rPr>
          <w:lang w:val="en-US"/>
        </w:rPr>
      </w:pPr>
    </w:p>
    <w:p w:rsidR="001320B1" w:rsidRDefault="001320B1" w:rsidP="00FB3DDD">
      <w:pPr>
        <w:spacing w:before="840"/>
        <w:ind w:firstLine="4502"/>
        <w:jc w:val="both"/>
        <w:rPr>
          <w:lang w:val="en-US"/>
        </w:rPr>
      </w:pPr>
    </w:p>
    <w:p w:rsidR="001320B1" w:rsidRDefault="001320B1" w:rsidP="00FB3DDD">
      <w:pPr>
        <w:spacing w:before="840"/>
        <w:ind w:firstLine="4502"/>
        <w:jc w:val="both"/>
        <w:rPr>
          <w:lang w:val="en-US"/>
        </w:rPr>
      </w:pPr>
    </w:p>
    <w:p w:rsidR="001320B1" w:rsidRDefault="001320B1" w:rsidP="001320B1">
      <w:pPr>
        <w:jc w:val="right"/>
        <w:rPr>
          <w:b/>
          <w:i/>
        </w:rPr>
      </w:pPr>
      <w:r w:rsidRPr="00F4008D">
        <w:rPr>
          <w:b/>
          <w:i/>
        </w:rPr>
        <w:t>Приложение № 1</w:t>
      </w:r>
    </w:p>
    <w:p w:rsidR="001320B1" w:rsidRDefault="001320B1" w:rsidP="001320B1">
      <w:pPr>
        <w:jc w:val="right"/>
        <w:rPr>
          <w:b/>
          <w:i/>
        </w:rPr>
      </w:pPr>
    </w:p>
    <w:p w:rsidR="001320B1" w:rsidRPr="001320B1" w:rsidRDefault="001320B1" w:rsidP="001320B1">
      <w:pPr>
        <w:jc w:val="center"/>
      </w:pPr>
      <w:r w:rsidRPr="001320B1">
        <w:t>СОБСТВЕНИ ДЪЛГОТРАЙНИ МАТЕРИАЛНИ АКТИВИ,</w:t>
      </w:r>
    </w:p>
    <w:p w:rsidR="001320B1" w:rsidRPr="001320B1" w:rsidRDefault="001320B1" w:rsidP="001320B1">
      <w:pPr>
        <w:jc w:val="center"/>
      </w:pPr>
      <w:r w:rsidRPr="001320B1">
        <w:t xml:space="preserve"> ЗАВЕДЕНИ ПО АКТИВА НА БАЛАНСА НА „НСБ“, ЕАД</w:t>
      </w:r>
    </w:p>
    <w:p w:rsidR="001320B1" w:rsidRDefault="001320B1" w:rsidP="001320B1">
      <w:pPr>
        <w:jc w:val="center"/>
        <w:rPr>
          <w:lang w:val="en-US"/>
        </w:rPr>
      </w:pPr>
    </w:p>
    <w:p w:rsidR="001320B1" w:rsidRPr="001320B1" w:rsidRDefault="001320B1" w:rsidP="001320B1">
      <w:pPr>
        <w:jc w:val="center"/>
        <w:rPr>
          <w:lang w:val="en-US"/>
        </w:rPr>
      </w:pP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Национален стадион „Васил Левски“ – гр. София</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Национален стадион „Юнак“ – гр. София</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Национална ветроходна база - гр. Несебър</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Национална ветроходна база – язовир „Искър“ - гр. София</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Национална гребна база „Пчелина“ – с. Калища, област Перник</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Национални гребни и ремонтни бази „Средец“ – Панчарево</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Лодкостроителница - Панчарево</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Национална база за кану-каяк – гр. Кърджали</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Национална спортна база – Пампорово</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Национални спортни зали „Раковски“ – гр. София</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Национална спортна база „Цар Самуил“ – гр. Петрич</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 xml:space="preserve">Национална алпийска ски база „Боровец“ </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Национална база за биатлон – Боровец</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 xml:space="preserve">Юнашки салон - Варна </w:t>
      </w:r>
      <w:r w:rsidRPr="001320B1">
        <w:rPr>
          <w:rStyle w:val="FootnoteReference"/>
          <w:rFonts w:ascii="Times New Roman" w:hAnsi="Times New Roman" w:cs="Times New Roman"/>
        </w:rPr>
        <w:footnoteReference w:id="252"/>
      </w:r>
      <w:r w:rsidRPr="001320B1">
        <w:rPr>
          <w:rFonts w:ascii="Times New Roman" w:hAnsi="Times New Roman" w:cs="Times New Roman"/>
        </w:rPr>
        <w:t xml:space="preserve"> </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Високопланински спортен комплекс „Белмекен“</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Национален спортен комплекс „Диана“ – гр. София</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Национална спортна база „Спортпалас“ – Златни пясъци</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Конно спортна база „Хан Аспарух“ – гр. София</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Национална спортна база „Спартак“ – гр. Созопол</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Тенис зала „София“ – гр. София</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Открити тенис кортове „Борисова градина“ – гр. София</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Столичен колодрум „Сердика“ – гр. София</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Спортна гребна база - с. Герман.</w:t>
      </w:r>
    </w:p>
    <w:p w:rsidR="001320B1" w:rsidRPr="001320B1" w:rsidRDefault="001320B1" w:rsidP="001320B1">
      <w:pPr>
        <w:pStyle w:val="ListParagraph"/>
        <w:numPr>
          <w:ilvl w:val="0"/>
          <w:numId w:val="14"/>
        </w:numPr>
        <w:tabs>
          <w:tab w:val="left" w:pos="1134"/>
        </w:tabs>
        <w:spacing w:after="200" w:line="276" w:lineRule="auto"/>
        <w:ind w:left="0" w:firstLine="709"/>
        <w:jc w:val="both"/>
        <w:rPr>
          <w:rFonts w:ascii="Times New Roman" w:hAnsi="Times New Roman" w:cs="Times New Roman"/>
        </w:rPr>
      </w:pPr>
      <w:r w:rsidRPr="001320B1">
        <w:rPr>
          <w:rFonts w:ascii="Times New Roman" w:hAnsi="Times New Roman" w:cs="Times New Roman"/>
        </w:rPr>
        <w:t>Многофункционална спортна зала „Арена Армеец“ – гр. София.</w:t>
      </w:r>
    </w:p>
    <w:p w:rsidR="001320B1" w:rsidRPr="001320B1" w:rsidRDefault="001320B1" w:rsidP="00FB3DDD">
      <w:pPr>
        <w:spacing w:before="840"/>
        <w:ind w:firstLine="4502"/>
        <w:jc w:val="both"/>
        <w:rPr>
          <w:lang w:val="en-US"/>
        </w:rPr>
      </w:pPr>
    </w:p>
    <w:p w:rsidR="001320B1" w:rsidRPr="001320B1" w:rsidRDefault="001320B1">
      <w:pPr>
        <w:spacing w:before="840"/>
        <w:ind w:firstLine="4502"/>
        <w:jc w:val="both"/>
        <w:rPr>
          <w:lang w:val="en-US"/>
        </w:rPr>
      </w:pPr>
    </w:p>
    <w:sectPr w:rsidR="001320B1" w:rsidRPr="001320B1" w:rsidSect="003C736D">
      <w:footerReference w:type="default" r:id="rId10"/>
      <w:pgSz w:w="12240" w:h="15840" w:code="1"/>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958" w:rsidRDefault="00851958" w:rsidP="00FB3DDD">
      <w:r>
        <w:separator/>
      </w:r>
    </w:p>
  </w:endnote>
  <w:endnote w:type="continuationSeparator" w:id="0">
    <w:p w:rsidR="00851958" w:rsidRDefault="00851958" w:rsidP="00FB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448983"/>
      <w:docPartObj>
        <w:docPartGallery w:val="Page Numbers (Bottom of Page)"/>
        <w:docPartUnique/>
      </w:docPartObj>
    </w:sdtPr>
    <w:sdtEndPr>
      <w:rPr>
        <w:noProof/>
        <w:sz w:val="20"/>
        <w:szCs w:val="20"/>
      </w:rPr>
    </w:sdtEndPr>
    <w:sdtContent>
      <w:p w:rsidR="003C736D" w:rsidRPr="009909AE" w:rsidRDefault="003C736D">
        <w:pPr>
          <w:pStyle w:val="Footer"/>
          <w:jc w:val="right"/>
          <w:rPr>
            <w:sz w:val="20"/>
            <w:szCs w:val="20"/>
          </w:rPr>
        </w:pPr>
        <w:r w:rsidRPr="009909AE">
          <w:rPr>
            <w:sz w:val="20"/>
            <w:szCs w:val="20"/>
          </w:rPr>
          <w:fldChar w:fldCharType="begin"/>
        </w:r>
        <w:r w:rsidRPr="009909AE">
          <w:rPr>
            <w:sz w:val="20"/>
            <w:szCs w:val="20"/>
          </w:rPr>
          <w:instrText xml:space="preserve"> PAGE   \* MERGEFORMAT </w:instrText>
        </w:r>
        <w:r w:rsidRPr="009909AE">
          <w:rPr>
            <w:sz w:val="20"/>
            <w:szCs w:val="20"/>
          </w:rPr>
          <w:fldChar w:fldCharType="separate"/>
        </w:r>
        <w:r w:rsidR="00701B37">
          <w:rPr>
            <w:noProof/>
            <w:sz w:val="20"/>
            <w:szCs w:val="20"/>
          </w:rPr>
          <w:t>53</w:t>
        </w:r>
        <w:r w:rsidRPr="009909AE">
          <w:rPr>
            <w:noProof/>
            <w:sz w:val="20"/>
            <w:szCs w:val="20"/>
          </w:rPr>
          <w:fldChar w:fldCharType="end"/>
        </w:r>
      </w:p>
    </w:sdtContent>
  </w:sdt>
  <w:p w:rsidR="003C736D" w:rsidRDefault="003C7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958" w:rsidRDefault="00851958" w:rsidP="00FB3DDD">
      <w:r>
        <w:separator/>
      </w:r>
    </w:p>
  </w:footnote>
  <w:footnote w:type="continuationSeparator" w:id="0">
    <w:p w:rsidR="00851958" w:rsidRDefault="00851958" w:rsidP="00FB3DDD">
      <w:r>
        <w:continuationSeparator/>
      </w:r>
    </w:p>
  </w:footnote>
  <w:footnote w:id="1">
    <w:p w:rsidR="003C736D" w:rsidRPr="004C35D0" w:rsidRDefault="003C736D">
      <w:pPr>
        <w:pStyle w:val="FootnoteText"/>
      </w:pPr>
      <w:r w:rsidRPr="004C35D0">
        <w:rPr>
          <w:rStyle w:val="FootnoteReference"/>
        </w:rPr>
        <w:footnoteRef/>
      </w:r>
      <w:r w:rsidRPr="004C35D0">
        <w:t xml:space="preserve"> Одитно доказателство № 7</w:t>
      </w:r>
    </w:p>
  </w:footnote>
  <w:footnote w:id="2">
    <w:p w:rsidR="003C736D" w:rsidRPr="004C35D0" w:rsidRDefault="003C736D">
      <w:pPr>
        <w:pStyle w:val="FootnoteText"/>
      </w:pPr>
      <w:r w:rsidRPr="004C35D0">
        <w:rPr>
          <w:rStyle w:val="FootnoteReference"/>
        </w:rPr>
        <w:footnoteRef/>
      </w:r>
      <w:r w:rsidRPr="004C35D0">
        <w:t xml:space="preserve"> Одитно доказателство № 45</w:t>
      </w:r>
    </w:p>
  </w:footnote>
  <w:footnote w:id="3">
    <w:p w:rsidR="003C736D" w:rsidRDefault="003C736D" w:rsidP="007E0A36">
      <w:pPr>
        <w:jc w:val="both"/>
      </w:pPr>
      <w:r>
        <w:rPr>
          <w:rStyle w:val="FootnoteReference"/>
        </w:rPr>
        <w:footnoteRef/>
      </w:r>
      <w:r>
        <w:t xml:space="preserve"> </w:t>
      </w:r>
      <w:r w:rsidRPr="005E7BC0">
        <w:rPr>
          <w:sz w:val="20"/>
          <w:szCs w:val="20"/>
        </w:rPr>
        <w:t>За одитирания период министри на физическото възпитание и спорта/</w:t>
      </w:r>
      <w:r>
        <w:rPr>
          <w:sz w:val="20"/>
          <w:szCs w:val="20"/>
        </w:rPr>
        <w:t xml:space="preserve"> </w:t>
      </w:r>
      <w:r w:rsidRPr="005E7BC0">
        <w:rPr>
          <w:sz w:val="20"/>
          <w:szCs w:val="20"/>
        </w:rPr>
        <w:t>младежта и спорта са: Свилен Нейков (от 27.07.2009 г. до 1</w:t>
      </w:r>
      <w:r>
        <w:rPr>
          <w:sz w:val="20"/>
          <w:szCs w:val="20"/>
        </w:rPr>
        <w:t>2</w:t>
      </w:r>
      <w:r w:rsidRPr="005E7BC0">
        <w:rPr>
          <w:sz w:val="20"/>
          <w:szCs w:val="20"/>
        </w:rPr>
        <w:t>.03.2013 г.</w:t>
      </w:r>
      <w:r>
        <w:rPr>
          <w:sz w:val="20"/>
          <w:szCs w:val="20"/>
        </w:rPr>
        <w:t xml:space="preserve"> вкл.</w:t>
      </w:r>
      <w:r w:rsidRPr="005E7BC0">
        <w:rPr>
          <w:sz w:val="20"/>
          <w:szCs w:val="20"/>
        </w:rPr>
        <w:t>), Петър Стойчев (13.03.2013 г. до 2</w:t>
      </w:r>
      <w:r>
        <w:rPr>
          <w:sz w:val="20"/>
          <w:szCs w:val="20"/>
        </w:rPr>
        <w:t>8</w:t>
      </w:r>
      <w:r w:rsidRPr="005E7BC0">
        <w:rPr>
          <w:sz w:val="20"/>
          <w:szCs w:val="20"/>
        </w:rPr>
        <w:t>.05.2013 г.</w:t>
      </w:r>
      <w:r>
        <w:rPr>
          <w:sz w:val="20"/>
          <w:szCs w:val="20"/>
        </w:rPr>
        <w:t xml:space="preserve"> вкл.</w:t>
      </w:r>
      <w:r w:rsidRPr="005E7BC0">
        <w:rPr>
          <w:sz w:val="20"/>
          <w:szCs w:val="20"/>
        </w:rPr>
        <w:t>), Мариана Георгиева (от 29.05.2013 г. до 0</w:t>
      </w:r>
      <w:r>
        <w:rPr>
          <w:sz w:val="20"/>
          <w:szCs w:val="20"/>
        </w:rPr>
        <w:t>5</w:t>
      </w:r>
      <w:r w:rsidRPr="005E7BC0">
        <w:rPr>
          <w:sz w:val="20"/>
          <w:szCs w:val="20"/>
        </w:rPr>
        <w:t>.08.2014 г.</w:t>
      </w:r>
      <w:r>
        <w:rPr>
          <w:sz w:val="20"/>
          <w:szCs w:val="20"/>
        </w:rPr>
        <w:t xml:space="preserve"> вкл.</w:t>
      </w:r>
      <w:r w:rsidRPr="005E7BC0">
        <w:rPr>
          <w:sz w:val="20"/>
          <w:szCs w:val="20"/>
        </w:rPr>
        <w:t>), Евгения Раданова (от 06.08.2014 г. до 0</w:t>
      </w:r>
      <w:r>
        <w:rPr>
          <w:sz w:val="20"/>
          <w:szCs w:val="20"/>
        </w:rPr>
        <w:t>6</w:t>
      </w:r>
      <w:r w:rsidRPr="005E7BC0">
        <w:rPr>
          <w:sz w:val="20"/>
          <w:szCs w:val="20"/>
        </w:rPr>
        <w:t>.11.2014 г.</w:t>
      </w:r>
      <w:r>
        <w:rPr>
          <w:sz w:val="20"/>
          <w:szCs w:val="20"/>
        </w:rPr>
        <w:t xml:space="preserve"> вкл.</w:t>
      </w:r>
      <w:r w:rsidRPr="005E7BC0">
        <w:rPr>
          <w:sz w:val="20"/>
          <w:szCs w:val="20"/>
        </w:rPr>
        <w:t xml:space="preserve">). </w:t>
      </w:r>
      <w:r>
        <w:rPr>
          <w:sz w:val="20"/>
          <w:szCs w:val="20"/>
        </w:rPr>
        <w:t>От 07.11.2014 г. и по време</w:t>
      </w:r>
      <w:r w:rsidRPr="005E7BC0">
        <w:rPr>
          <w:sz w:val="20"/>
          <w:szCs w:val="20"/>
        </w:rPr>
        <w:t xml:space="preserve"> на</w:t>
      </w:r>
      <w:r>
        <w:rPr>
          <w:sz w:val="20"/>
          <w:szCs w:val="20"/>
        </w:rPr>
        <w:t xml:space="preserve"> извършаване на</w:t>
      </w:r>
      <w:r w:rsidRPr="005E7BC0">
        <w:rPr>
          <w:sz w:val="20"/>
          <w:szCs w:val="20"/>
        </w:rPr>
        <w:t xml:space="preserve"> одита </w:t>
      </w:r>
      <w:r>
        <w:rPr>
          <w:sz w:val="20"/>
          <w:szCs w:val="20"/>
        </w:rPr>
        <w:t>м</w:t>
      </w:r>
      <w:r w:rsidRPr="005E7BC0">
        <w:rPr>
          <w:sz w:val="20"/>
          <w:szCs w:val="20"/>
        </w:rPr>
        <w:t>инистър на младежта и спорта е Красен Кралев.</w:t>
      </w:r>
    </w:p>
  </w:footnote>
  <w:footnote w:id="4">
    <w:p w:rsidR="003C736D" w:rsidRPr="004C35D0" w:rsidRDefault="003C736D" w:rsidP="003D13B4">
      <w:pPr>
        <w:pStyle w:val="FootnoteText"/>
      </w:pPr>
      <w:r w:rsidRPr="004C35D0">
        <w:rPr>
          <w:rStyle w:val="FootnoteReference"/>
        </w:rPr>
        <w:footnoteRef/>
      </w:r>
      <w:r w:rsidRPr="004C35D0">
        <w:t xml:space="preserve"> Обн. ДВ, бр.</w:t>
      </w:r>
      <w:r w:rsidRPr="004C35D0">
        <w:rPr>
          <w:lang w:val="ru-RU"/>
        </w:rPr>
        <w:t xml:space="preserve"> </w:t>
      </w:r>
      <w:r w:rsidRPr="004C35D0">
        <w:t xml:space="preserve">48 от 31.05.2013 г. </w:t>
      </w:r>
    </w:p>
  </w:footnote>
  <w:footnote w:id="5">
    <w:p w:rsidR="003C736D" w:rsidRPr="004C35D0" w:rsidRDefault="003C736D">
      <w:pPr>
        <w:pStyle w:val="FootnoteText"/>
      </w:pPr>
      <w:r w:rsidRPr="004C35D0">
        <w:rPr>
          <w:rStyle w:val="FootnoteReference"/>
        </w:rPr>
        <w:footnoteRef/>
      </w:r>
      <w:r w:rsidRPr="004C35D0">
        <w:t xml:space="preserve"> Одитно доказателство № 11</w:t>
      </w:r>
    </w:p>
  </w:footnote>
  <w:footnote w:id="6">
    <w:p w:rsidR="003C736D" w:rsidRPr="004653D8" w:rsidRDefault="003C736D" w:rsidP="004653D8">
      <w:pPr>
        <w:jc w:val="both"/>
        <w:rPr>
          <w:sz w:val="18"/>
          <w:szCs w:val="18"/>
        </w:rPr>
      </w:pPr>
      <w:r w:rsidRPr="004653D8">
        <w:rPr>
          <w:rStyle w:val="FootnoteReference"/>
          <w:sz w:val="18"/>
          <w:szCs w:val="18"/>
        </w:rPr>
        <w:footnoteRef/>
      </w:r>
      <w:r w:rsidRPr="004653D8">
        <w:rPr>
          <w:sz w:val="18"/>
          <w:szCs w:val="18"/>
        </w:rPr>
        <w:t xml:space="preserve"> </w:t>
      </w:r>
      <w:r w:rsidRPr="004653D8">
        <w:rPr>
          <w:sz w:val="20"/>
          <w:szCs w:val="20"/>
        </w:rPr>
        <w:t>Към 31.12.2014 г. СД е в състав: Емилия Асенова Груева – Председател на СД; Пламен Цветков Манолов – член на СД и Изпълнителен директор; Красимир Здравков Керезов – член на СД; Антон Николов Попов – член на СД; и</w:t>
      </w:r>
      <w:r>
        <w:rPr>
          <w:sz w:val="20"/>
          <w:szCs w:val="20"/>
        </w:rPr>
        <w:t xml:space="preserve"> </w:t>
      </w:r>
      <w:r w:rsidRPr="004653D8">
        <w:rPr>
          <w:sz w:val="20"/>
          <w:szCs w:val="20"/>
        </w:rPr>
        <w:t>Стоян Траянов Танев – член на СД.</w:t>
      </w:r>
    </w:p>
  </w:footnote>
  <w:footnote w:id="7">
    <w:p w:rsidR="003C736D" w:rsidRPr="00755BB2" w:rsidRDefault="003C736D" w:rsidP="00B66FCA">
      <w:pPr>
        <w:pStyle w:val="FootnoteText"/>
        <w:jc w:val="both"/>
        <w:rPr>
          <w:sz w:val="18"/>
          <w:szCs w:val="18"/>
        </w:rPr>
      </w:pPr>
      <w:r w:rsidRPr="00755BB2">
        <w:rPr>
          <w:rStyle w:val="FootnoteReference"/>
          <w:sz w:val="18"/>
          <w:szCs w:val="18"/>
        </w:rPr>
        <w:footnoteRef/>
      </w:r>
      <w:r w:rsidRPr="00755BB2">
        <w:rPr>
          <w:sz w:val="18"/>
          <w:szCs w:val="18"/>
        </w:rPr>
        <w:t xml:space="preserve"> Одитни доказателства № 28 и № 30; Пламен Манолов е изпълнителен директор на „НСБ“ ЕАД и към момента на извършване и приключване на одита – м. август 2015 г. </w:t>
      </w:r>
    </w:p>
  </w:footnote>
  <w:footnote w:id="8">
    <w:p w:rsidR="003C736D" w:rsidRPr="004C35D0" w:rsidRDefault="003C736D">
      <w:pPr>
        <w:pStyle w:val="FootnoteText"/>
      </w:pPr>
      <w:r w:rsidRPr="004C35D0">
        <w:rPr>
          <w:rStyle w:val="FootnoteReference"/>
        </w:rPr>
        <w:footnoteRef/>
      </w:r>
      <w:r w:rsidRPr="004C35D0">
        <w:t xml:space="preserve"> НС „Васил Левски“; М</w:t>
      </w:r>
      <w:r>
        <w:t>Ф</w:t>
      </w:r>
      <w:r w:rsidRPr="004C35D0">
        <w:t>СЗ „Арена Армеец“; НСК „Диана“; Покрит плувен басейн „Диана“; КСБ „Хан Аспарух“; НСБ „Спортпалас“; НСБ „Спартак“; ВСК „Белмекен“; НСЗ „Раковски“; НСБ „Пампорово“; НГБ „Панчарево“; НГБ „Пчелина“</w:t>
      </w:r>
    </w:p>
  </w:footnote>
  <w:footnote w:id="9">
    <w:p w:rsidR="003C736D" w:rsidRPr="004C35D0" w:rsidRDefault="003C736D" w:rsidP="00B66FCA">
      <w:pPr>
        <w:pStyle w:val="FootnoteText"/>
      </w:pPr>
      <w:r w:rsidRPr="004C35D0">
        <w:rPr>
          <w:rStyle w:val="FootnoteReference"/>
        </w:rPr>
        <w:footnoteRef/>
      </w:r>
      <w:r w:rsidRPr="004C35D0">
        <w:t xml:space="preserve"> Одитни доказателства № 36 и № 37</w:t>
      </w:r>
    </w:p>
    <w:p w:rsidR="003C736D" w:rsidRPr="00B66FCA" w:rsidRDefault="003C736D">
      <w:pPr>
        <w:pStyle w:val="FootnoteText"/>
        <w:rPr>
          <w:lang w:val="en-US"/>
        </w:rPr>
      </w:pPr>
    </w:p>
  </w:footnote>
  <w:footnote w:id="10">
    <w:p w:rsidR="003C736D" w:rsidRDefault="003C736D">
      <w:pPr>
        <w:pStyle w:val="FootnoteText"/>
      </w:pPr>
      <w:r>
        <w:rPr>
          <w:rStyle w:val="FootnoteReference"/>
        </w:rPr>
        <w:footnoteRef/>
      </w:r>
      <w:r>
        <w:t xml:space="preserve"> Заповед № ФК-10-330/20.03.2015 г. на директора на </w:t>
      </w:r>
      <w:r w:rsidRPr="00D56870">
        <w:t>Агенцията за държавна финансова инспекция</w:t>
      </w:r>
    </w:p>
  </w:footnote>
  <w:footnote w:id="11">
    <w:p w:rsidR="003C736D" w:rsidRPr="0079301B" w:rsidRDefault="003C736D">
      <w:pPr>
        <w:pStyle w:val="FootnoteText"/>
      </w:pPr>
      <w:r>
        <w:rPr>
          <w:rStyle w:val="FootnoteReference"/>
        </w:rPr>
        <w:footnoteRef/>
      </w:r>
      <w:r>
        <w:t xml:space="preserve"> Одитно доказателство № 11</w:t>
      </w:r>
    </w:p>
  </w:footnote>
  <w:footnote w:id="12">
    <w:p w:rsidR="003C736D" w:rsidRPr="00942ABD" w:rsidRDefault="003C736D" w:rsidP="004F4CBD">
      <w:pPr>
        <w:pStyle w:val="FootnoteText"/>
      </w:pPr>
      <w:r w:rsidRPr="00942ABD">
        <w:rPr>
          <w:rStyle w:val="FootnoteReference"/>
        </w:rPr>
        <w:footnoteRef/>
      </w:r>
      <w:r w:rsidRPr="00942ABD">
        <w:t xml:space="preserve"> С Решение на 42-то Народно събрание, прието на 29 май 2013 г. и обн. ДВ, бр.</w:t>
      </w:r>
      <w:r w:rsidRPr="00942ABD">
        <w:rPr>
          <w:lang w:val="ru-RU"/>
        </w:rPr>
        <w:t xml:space="preserve"> </w:t>
      </w:r>
      <w:r w:rsidRPr="00942ABD">
        <w:t>48 от 31.05.2013 г.</w:t>
      </w:r>
      <w:r>
        <w:t>,</w:t>
      </w:r>
      <w:r w:rsidRPr="00942ABD">
        <w:t xml:space="preserve"> за приемане структурата на Министерския съвет на Република България, Министерството на физическото възпитание и спорта е преобразувано в Министерство на </w:t>
      </w:r>
      <w:r>
        <w:t>младежта и спорта</w:t>
      </w:r>
    </w:p>
  </w:footnote>
  <w:footnote w:id="13">
    <w:p w:rsidR="003C736D" w:rsidRDefault="003C736D" w:rsidP="004F4CBD">
      <w:pPr>
        <w:jc w:val="both"/>
      </w:pPr>
      <w:r w:rsidRPr="00442AAA">
        <w:rPr>
          <w:rStyle w:val="FootnoteReference"/>
          <w:sz w:val="20"/>
          <w:szCs w:val="20"/>
        </w:rPr>
        <w:footnoteRef/>
      </w:r>
      <w:r w:rsidRPr="00442AAA">
        <w:rPr>
          <w:sz w:val="20"/>
          <w:szCs w:val="20"/>
        </w:rPr>
        <w:t xml:space="preserve"> </w:t>
      </w:r>
      <w:r>
        <w:rPr>
          <w:sz w:val="20"/>
          <w:szCs w:val="20"/>
        </w:rPr>
        <w:t xml:space="preserve">Съгласно </w:t>
      </w:r>
      <w:r w:rsidRPr="00442AAA">
        <w:rPr>
          <w:bCs/>
          <w:color w:val="000000"/>
          <w:sz w:val="20"/>
          <w:szCs w:val="20"/>
          <w:lang w:eastAsia="en-US"/>
        </w:rPr>
        <w:t>Устройствен правилник на Министерството на физическото възпитание и спорта (отм.)</w:t>
      </w:r>
      <w:r w:rsidRPr="00442AAA">
        <w:rPr>
          <w:color w:val="000000"/>
          <w:sz w:val="20"/>
          <w:szCs w:val="20"/>
          <w:lang w:eastAsia="en-US"/>
        </w:rPr>
        <w:t> </w:t>
      </w:r>
      <w:r w:rsidRPr="00442AAA">
        <w:rPr>
          <w:i/>
          <w:color w:val="000000"/>
          <w:sz w:val="20"/>
          <w:szCs w:val="20"/>
          <w:lang w:val="en-US" w:eastAsia="en-US"/>
        </w:rPr>
        <w:t>(</w:t>
      </w:r>
      <w:r w:rsidRPr="00442AAA">
        <w:rPr>
          <w:i/>
          <w:color w:val="000000"/>
          <w:sz w:val="20"/>
          <w:szCs w:val="20"/>
          <w:lang w:eastAsia="en-US"/>
        </w:rPr>
        <w:t xml:space="preserve">Приет с </w:t>
      </w:r>
      <w:hyperlink r:id="rId1" w:history="1">
        <w:r w:rsidRPr="00442AAA">
          <w:rPr>
            <w:i/>
            <w:color w:val="000000"/>
            <w:sz w:val="20"/>
            <w:szCs w:val="20"/>
            <w:lang w:eastAsia="en-US"/>
          </w:rPr>
          <w:t>ПМС № 195</w:t>
        </w:r>
      </w:hyperlink>
      <w:r w:rsidRPr="00442AAA">
        <w:rPr>
          <w:i/>
          <w:color w:val="000000"/>
          <w:sz w:val="20"/>
          <w:szCs w:val="20"/>
          <w:lang w:eastAsia="en-US"/>
        </w:rPr>
        <w:t xml:space="preserve"> от 6.08.2009 г., oбн., ДВ, </w:t>
      </w:r>
      <w:hyperlink r:id="rId2" w:history="1">
        <w:r w:rsidRPr="00442AAA">
          <w:rPr>
            <w:i/>
            <w:color w:val="000000"/>
            <w:sz w:val="20"/>
            <w:szCs w:val="20"/>
            <w:lang w:eastAsia="en-US"/>
          </w:rPr>
          <w:t>бр. 64</w:t>
        </w:r>
      </w:hyperlink>
      <w:r w:rsidRPr="00442AAA">
        <w:rPr>
          <w:i/>
          <w:color w:val="000000"/>
          <w:sz w:val="20"/>
          <w:szCs w:val="20"/>
          <w:lang w:eastAsia="en-US"/>
        </w:rPr>
        <w:t xml:space="preserve"> от 11.08.2009 г., в сила от 5.08.2009 г.,  отм., бр. 62 от </w:t>
      </w:r>
      <w:r>
        <w:rPr>
          <w:i/>
          <w:color w:val="000000"/>
          <w:sz w:val="20"/>
          <w:szCs w:val="20"/>
          <w:lang w:eastAsia="en-US"/>
        </w:rPr>
        <w:t xml:space="preserve">     </w:t>
      </w:r>
      <w:r w:rsidRPr="00442AAA">
        <w:rPr>
          <w:i/>
          <w:color w:val="000000"/>
          <w:sz w:val="20"/>
          <w:szCs w:val="20"/>
          <w:lang w:eastAsia="en-US"/>
        </w:rPr>
        <w:t>12.07.2013 г., в сила от 3.07.2013 г.</w:t>
      </w:r>
      <w:r w:rsidRPr="00442AAA">
        <w:rPr>
          <w:i/>
          <w:color w:val="000000"/>
          <w:sz w:val="20"/>
          <w:szCs w:val="20"/>
          <w:lang w:val="en-US" w:eastAsia="en-US"/>
        </w:rPr>
        <w:t>)</w:t>
      </w:r>
    </w:p>
  </w:footnote>
  <w:footnote w:id="14">
    <w:p w:rsidR="003C736D" w:rsidRPr="006537CD" w:rsidRDefault="003C736D" w:rsidP="004F4CBD">
      <w:pPr>
        <w:jc w:val="both"/>
        <w:rPr>
          <w:sz w:val="20"/>
          <w:szCs w:val="20"/>
        </w:rPr>
      </w:pPr>
      <w:r w:rsidRPr="00442AAA">
        <w:rPr>
          <w:rStyle w:val="FootnoteReference"/>
          <w:sz w:val="20"/>
          <w:szCs w:val="20"/>
        </w:rPr>
        <w:footnoteRef/>
      </w:r>
      <w:r w:rsidRPr="00442AAA">
        <w:rPr>
          <w:sz w:val="20"/>
          <w:szCs w:val="20"/>
        </w:rPr>
        <w:t xml:space="preserve"> </w:t>
      </w:r>
      <w:r>
        <w:rPr>
          <w:sz w:val="20"/>
          <w:szCs w:val="20"/>
        </w:rPr>
        <w:t xml:space="preserve">Съгласно </w:t>
      </w:r>
      <w:r w:rsidRPr="00442AAA">
        <w:rPr>
          <w:bCs/>
          <w:color w:val="000000"/>
          <w:sz w:val="20"/>
          <w:szCs w:val="20"/>
          <w:lang w:eastAsia="en-US"/>
        </w:rPr>
        <w:t>Устройствен правилник на Министерството на младежта и спорта</w:t>
      </w:r>
      <w:r w:rsidRPr="00442AAA">
        <w:rPr>
          <w:sz w:val="20"/>
          <w:szCs w:val="20"/>
        </w:rPr>
        <w:t xml:space="preserve"> </w:t>
      </w:r>
      <w:r w:rsidRPr="009F6517">
        <w:rPr>
          <w:i/>
          <w:color w:val="000000"/>
          <w:sz w:val="20"/>
          <w:szCs w:val="20"/>
          <w:lang w:val="en-US"/>
        </w:rPr>
        <w:t>(</w:t>
      </w:r>
      <w:r w:rsidRPr="00346E3F">
        <w:rPr>
          <w:i/>
          <w:color w:val="000000"/>
          <w:sz w:val="20"/>
          <w:szCs w:val="20"/>
        </w:rPr>
        <w:t xml:space="preserve">Приет с </w:t>
      </w:r>
      <w:hyperlink r:id="rId3" w:history="1">
        <w:r w:rsidRPr="006537CD">
          <w:rPr>
            <w:rStyle w:val="Hyperlink"/>
            <w:i/>
            <w:color w:val="000000"/>
            <w:sz w:val="20"/>
            <w:szCs w:val="20"/>
            <w:u w:val="none"/>
          </w:rPr>
          <w:t>ПМС № 142</w:t>
        </w:r>
      </w:hyperlink>
      <w:r w:rsidRPr="006537CD">
        <w:rPr>
          <w:i/>
          <w:color w:val="000000"/>
          <w:sz w:val="20"/>
          <w:szCs w:val="20"/>
        </w:rPr>
        <w:t xml:space="preserve"> от 8.07.2013 г., обн., ДВ, </w:t>
      </w:r>
      <w:hyperlink r:id="rId4" w:history="1">
        <w:r w:rsidRPr="006537CD">
          <w:rPr>
            <w:rStyle w:val="Hyperlink"/>
            <w:i/>
            <w:color w:val="000000"/>
            <w:sz w:val="20"/>
            <w:szCs w:val="20"/>
            <w:u w:val="none"/>
          </w:rPr>
          <w:t>бр. 62</w:t>
        </w:r>
      </w:hyperlink>
      <w:r w:rsidRPr="006537CD">
        <w:rPr>
          <w:i/>
          <w:color w:val="000000"/>
          <w:sz w:val="20"/>
          <w:szCs w:val="20"/>
        </w:rPr>
        <w:t xml:space="preserve"> от 12.07.2013 г., в сила от 3.07.2013 г., </w:t>
      </w:r>
      <w:r>
        <w:rPr>
          <w:i/>
          <w:color w:val="000000"/>
          <w:sz w:val="20"/>
          <w:szCs w:val="20"/>
        </w:rPr>
        <w:t>ред.</w:t>
      </w:r>
      <w:r w:rsidRPr="006537CD">
        <w:rPr>
          <w:i/>
          <w:color w:val="000000"/>
          <w:sz w:val="20"/>
          <w:szCs w:val="20"/>
        </w:rPr>
        <w:t xml:space="preserve"> бр. 102 от 12.12.2014 г., в сила от 12.12.2014 г.</w:t>
      </w:r>
      <w:r w:rsidRPr="006537CD">
        <w:rPr>
          <w:i/>
          <w:color w:val="000000"/>
          <w:sz w:val="20"/>
          <w:szCs w:val="20"/>
          <w:lang w:val="en-US"/>
        </w:rPr>
        <w:t>)</w:t>
      </w:r>
    </w:p>
  </w:footnote>
  <w:footnote w:id="15">
    <w:p w:rsidR="003C736D" w:rsidRPr="00346E3F" w:rsidRDefault="003C736D" w:rsidP="004F4CBD">
      <w:pPr>
        <w:pStyle w:val="FootnoteText"/>
      </w:pPr>
      <w:r w:rsidRPr="00346E3F">
        <w:rPr>
          <w:rStyle w:val="FootnoteReference"/>
        </w:rPr>
        <w:footnoteRef/>
      </w:r>
      <w:r w:rsidRPr="00346E3F">
        <w:t xml:space="preserve"> Одитно доказателство</w:t>
      </w:r>
      <w:r w:rsidRPr="00346E3F">
        <w:rPr>
          <w:lang w:val="en-US"/>
        </w:rPr>
        <w:t xml:space="preserve"> </w:t>
      </w:r>
      <w:r w:rsidRPr="00346E3F">
        <w:t>№ 1</w:t>
      </w:r>
    </w:p>
  </w:footnote>
  <w:footnote w:id="16">
    <w:p w:rsidR="003C736D" w:rsidRPr="00346E3F" w:rsidRDefault="003C736D" w:rsidP="004F4CBD">
      <w:pPr>
        <w:pStyle w:val="FootnoteText"/>
      </w:pPr>
      <w:r w:rsidRPr="00346E3F">
        <w:rPr>
          <w:rStyle w:val="FootnoteReference"/>
        </w:rPr>
        <w:footnoteRef/>
      </w:r>
      <w:r w:rsidRPr="00346E3F">
        <w:t xml:space="preserve"> Одитно доказателство № 2</w:t>
      </w:r>
    </w:p>
  </w:footnote>
  <w:footnote w:id="17">
    <w:p w:rsidR="003C736D" w:rsidRPr="00346E3F" w:rsidRDefault="003C736D" w:rsidP="004F4CBD">
      <w:pPr>
        <w:pStyle w:val="FootnoteText"/>
      </w:pPr>
      <w:r w:rsidRPr="00346E3F">
        <w:rPr>
          <w:rStyle w:val="FootnoteReference"/>
        </w:rPr>
        <w:footnoteRef/>
      </w:r>
      <w:r w:rsidRPr="00346E3F">
        <w:t xml:space="preserve"> Одитно доказателство № 3</w:t>
      </w:r>
    </w:p>
  </w:footnote>
  <w:footnote w:id="18">
    <w:p w:rsidR="003C736D" w:rsidRPr="00346E3F" w:rsidRDefault="003C736D" w:rsidP="004F4CBD">
      <w:pPr>
        <w:jc w:val="both"/>
        <w:rPr>
          <w:sz w:val="20"/>
          <w:szCs w:val="20"/>
        </w:rPr>
      </w:pPr>
      <w:r w:rsidRPr="00346E3F">
        <w:rPr>
          <w:rStyle w:val="FootnoteReference"/>
          <w:sz w:val="20"/>
          <w:szCs w:val="20"/>
        </w:rPr>
        <w:footnoteRef/>
      </w:r>
      <w:r w:rsidRPr="00346E3F">
        <w:rPr>
          <w:sz w:val="20"/>
          <w:szCs w:val="20"/>
        </w:rPr>
        <w:t xml:space="preserve"> Одитно доказателство № 4</w:t>
      </w:r>
    </w:p>
  </w:footnote>
  <w:footnote w:id="19">
    <w:p w:rsidR="003C736D" w:rsidRPr="00346E3F" w:rsidRDefault="003C736D" w:rsidP="004F4CBD">
      <w:pPr>
        <w:pStyle w:val="FootnoteText"/>
      </w:pPr>
      <w:r w:rsidRPr="00346E3F">
        <w:rPr>
          <w:rStyle w:val="FootnoteReference"/>
        </w:rPr>
        <w:footnoteRef/>
      </w:r>
      <w:r w:rsidRPr="00346E3F">
        <w:t xml:space="preserve"> Одитно доказателство № 2</w:t>
      </w:r>
    </w:p>
  </w:footnote>
  <w:footnote w:id="20">
    <w:p w:rsidR="003C736D" w:rsidRPr="00346E3F" w:rsidRDefault="003C736D" w:rsidP="004F4CBD">
      <w:pPr>
        <w:pStyle w:val="FootnoteText"/>
      </w:pPr>
      <w:r w:rsidRPr="00346E3F">
        <w:rPr>
          <w:rStyle w:val="FootnoteReference"/>
        </w:rPr>
        <w:footnoteRef/>
      </w:r>
      <w:r w:rsidRPr="00346E3F">
        <w:t xml:space="preserve">Одитно доказателство № 2 </w:t>
      </w:r>
    </w:p>
  </w:footnote>
  <w:footnote w:id="21">
    <w:p w:rsidR="003C736D" w:rsidRPr="00346E3F" w:rsidRDefault="003C736D" w:rsidP="004F4CBD">
      <w:pPr>
        <w:jc w:val="both"/>
        <w:rPr>
          <w:sz w:val="20"/>
          <w:szCs w:val="20"/>
        </w:rPr>
      </w:pPr>
      <w:r w:rsidRPr="00346E3F">
        <w:rPr>
          <w:rStyle w:val="FootnoteReference"/>
          <w:sz w:val="20"/>
          <w:szCs w:val="20"/>
        </w:rPr>
        <w:footnoteRef/>
      </w:r>
      <w:r w:rsidRPr="00346E3F">
        <w:rPr>
          <w:sz w:val="20"/>
          <w:szCs w:val="20"/>
        </w:rPr>
        <w:t xml:space="preserve"> Одитно доказателство № 5</w:t>
      </w:r>
    </w:p>
  </w:footnote>
  <w:footnote w:id="22">
    <w:p w:rsidR="003C736D" w:rsidRPr="00346E3F" w:rsidRDefault="003C736D" w:rsidP="004F4CBD">
      <w:pPr>
        <w:jc w:val="both"/>
      </w:pPr>
      <w:r w:rsidRPr="00346E3F">
        <w:rPr>
          <w:rStyle w:val="FootnoteReference"/>
          <w:sz w:val="20"/>
          <w:szCs w:val="20"/>
        </w:rPr>
        <w:footnoteRef/>
      </w:r>
      <w:r w:rsidRPr="00346E3F">
        <w:rPr>
          <w:sz w:val="20"/>
          <w:szCs w:val="20"/>
        </w:rPr>
        <w:t xml:space="preserve"> Одитно доказателство № 6</w:t>
      </w:r>
    </w:p>
  </w:footnote>
  <w:footnote w:id="23">
    <w:p w:rsidR="003C736D" w:rsidRPr="00346E3F" w:rsidRDefault="003C736D" w:rsidP="004F4CBD">
      <w:pPr>
        <w:pStyle w:val="FootnoteText"/>
      </w:pPr>
      <w:r w:rsidRPr="00346E3F">
        <w:rPr>
          <w:rStyle w:val="FootnoteReference"/>
        </w:rPr>
        <w:footnoteRef/>
      </w:r>
      <w:r w:rsidRPr="00346E3F">
        <w:t xml:space="preserve"> Одитно доказателство № 2</w:t>
      </w:r>
    </w:p>
  </w:footnote>
  <w:footnote w:id="24">
    <w:p w:rsidR="003C736D" w:rsidRPr="00346E3F" w:rsidRDefault="003C736D" w:rsidP="004F4CBD">
      <w:pPr>
        <w:pStyle w:val="FootnoteText"/>
      </w:pPr>
      <w:r w:rsidRPr="00346E3F">
        <w:rPr>
          <w:rStyle w:val="FootnoteReference"/>
        </w:rPr>
        <w:footnoteRef/>
      </w:r>
      <w:r w:rsidRPr="00346E3F">
        <w:t xml:space="preserve"> Одитно доказателство № 7</w:t>
      </w:r>
    </w:p>
  </w:footnote>
  <w:footnote w:id="25">
    <w:p w:rsidR="003C736D" w:rsidRDefault="003C736D" w:rsidP="00275CB3">
      <w:pPr>
        <w:pStyle w:val="FootnoteText"/>
        <w:jc w:val="both"/>
      </w:pPr>
      <w:r>
        <w:rPr>
          <w:rStyle w:val="FootnoteReference"/>
        </w:rPr>
        <w:footnoteRef/>
      </w:r>
      <w:r>
        <w:t xml:space="preserve"> </w:t>
      </w:r>
      <w:r w:rsidRPr="002463D2">
        <w:rPr>
          <w:rFonts w:eastAsia="Calibri"/>
          <w:lang w:eastAsia="en-US"/>
        </w:rPr>
        <w:t>С чл. 221, т. 1 от ТЗ, чл. 12, т. 1 от ПРУПДТДДУК и чл. 17, ал. 1, т. 1 от Устава на дружеството е определено правомощие на едноличния собственик на капитала да изменя и допълва устава на дружеството, а с чл. 221, т. 2 от ТЗ, чл. 12, т. 2 от ПРУПДТДДУК</w:t>
      </w:r>
      <w:r>
        <w:rPr>
          <w:rFonts w:eastAsia="Calibri"/>
          <w:lang w:eastAsia="en-US"/>
        </w:rPr>
        <w:t xml:space="preserve"> </w:t>
      </w:r>
      <w:r w:rsidRPr="002463D2">
        <w:rPr>
          <w:rFonts w:eastAsia="Calibri"/>
          <w:lang w:eastAsia="en-US"/>
        </w:rPr>
        <w:t>и</w:t>
      </w:r>
      <w:r>
        <w:rPr>
          <w:rFonts w:eastAsia="Calibri"/>
          <w:lang w:eastAsia="en-US"/>
        </w:rPr>
        <w:t xml:space="preserve"> ч</w:t>
      </w:r>
      <w:r w:rsidRPr="002463D2">
        <w:rPr>
          <w:rFonts w:eastAsia="Calibri"/>
          <w:lang w:eastAsia="en-US"/>
        </w:rPr>
        <w:t>л. 17, ал. 1, т. 3 от Устава на дружеството – да увеличава и намалява капитала на дружеството.</w:t>
      </w:r>
    </w:p>
  </w:footnote>
  <w:footnote w:id="26">
    <w:p w:rsidR="003C736D" w:rsidRPr="00322505" w:rsidRDefault="003C736D" w:rsidP="004F4CBD">
      <w:pPr>
        <w:pStyle w:val="m"/>
        <w:spacing w:before="0" w:beforeAutospacing="0" w:after="0" w:afterAutospacing="0"/>
      </w:pPr>
      <w:r w:rsidRPr="00322505">
        <w:rPr>
          <w:rStyle w:val="FootnoteReference"/>
          <w:sz w:val="20"/>
          <w:szCs w:val="20"/>
        </w:rPr>
        <w:footnoteRef/>
      </w:r>
      <w:r w:rsidRPr="00322505">
        <w:rPr>
          <w:sz w:val="20"/>
          <w:szCs w:val="20"/>
          <w:lang w:val="bg-BG"/>
        </w:rPr>
        <w:t xml:space="preserve"> </w:t>
      </w:r>
      <w:r>
        <w:rPr>
          <w:sz w:val="20"/>
          <w:szCs w:val="20"/>
          <w:lang w:val="bg-BG"/>
        </w:rPr>
        <w:t>С</w:t>
      </w:r>
      <w:r w:rsidRPr="00322505">
        <w:rPr>
          <w:sz w:val="20"/>
          <w:szCs w:val="20"/>
          <w:lang w:val="bg-BG"/>
        </w:rPr>
        <w:t>ъгласно чл. 200 от ТЗ: „ч</w:t>
      </w:r>
      <w:r w:rsidRPr="00322505">
        <w:rPr>
          <w:bCs/>
          <w:sz w:val="20"/>
          <w:szCs w:val="20"/>
          <w:lang w:val="bg-BG"/>
        </w:rPr>
        <w:t>л. 200.</w:t>
      </w:r>
      <w:r w:rsidRPr="00322505">
        <w:rPr>
          <w:sz w:val="20"/>
          <w:szCs w:val="20"/>
          <w:lang w:val="bg-BG"/>
        </w:rPr>
        <w:t xml:space="preserve"> Капиталът може да се намали: 1. с намаляване на номиналната стойност на акциите; 2. чрез обезсилване на акции.“</w:t>
      </w:r>
    </w:p>
  </w:footnote>
  <w:footnote w:id="27">
    <w:p w:rsidR="003C736D" w:rsidRPr="00346E3F" w:rsidRDefault="003C736D" w:rsidP="004F4CBD">
      <w:pPr>
        <w:pStyle w:val="FootnoteText"/>
      </w:pPr>
      <w:r w:rsidRPr="00346E3F">
        <w:rPr>
          <w:rStyle w:val="FootnoteReference"/>
        </w:rPr>
        <w:footnoteRef/>
      </w:r>
      <w:r w:rsidRPr="00346E3F">
        <w:t xml:space="preserve"> Одитно доказателство № 8</w:t>
      </w:r>
    </w:p>
  </w:footnote>
  <w:footnote w:id="28">
    <w:p w:rsidR="003C736D" w:rsidRDefault="003C736D" w:rsidP="00275CB3">
      <w:pPr>
        <w:pStyle w:val="FootnoteText"/>
        <w:jc w:val="both"/>
      </w:pPr>
      <w:r>
        <w:rPr>
          <w:rStyle w:val="FootnoteReference"/>
        </w:rPr>
        <w:footnoteRef/>
      </w:r>
      <w:r>
        <w:t xml:space="preserve"> С </w:t>
      </w:r>
      <w:r w:rsidRPr="002463D2">
        <w:t xml:space="preserve">чл. 200, т. 2, чл. 221, т. 2 от ТЗ, чл. 12, </w:t>
      </w:r>
      <w:r w:rsidRPr="002463D2">
        <w:rPr>
          <w:rFonts w:eastAsia="Calibri"/>
          <w:lang w:eastAsia="en-US"/>
        </w:rPr>
        <w:t>т. 2 от ПРУПДТДДУК и чл. 17, ал. 1, т. 3 от Устава на дружеството</w:t>
      </w:r>
    </w:p>
  </w:footnote>
  <w:footnote w:id="29">
    <w:p w:rsidR="003C736D" w:rsidRPr="00346E3F" w:rsidRDefault="003C736D" w:rsidP="004F4CBD">
      <w:pPr>
        <w:jc w:val="both"/>
      </w:pPr>
      <w:r w:rsidRPr="00346E3F">
        <w:rPr>
          <w:rStyle w:val="FootnoteReference"/>
          <w:sz w:val="20"/>
          <w:szCs w:val="20"/>
        </w:rPr>
        <w:footnoteRef/>
      </w:r>
      <w:r w:rsidRPr="00346E3F">
        <w:rPr>
          <w:sz w:val="20"/>
          <w:szCs w:val="20"/>
        </w:rPr>
        <w:t xml:space="preserve"> Одитн</w:t>
      </w:r>
      <w:r>
        <w:rPr>
          <w:sz w:val="20"/>
          <w:szCs w:val="20"/>
        </w:rPr>
        <w:t>и</w:t>
      </w:r>
      <w:r w:rsidRPr="00346E3F">
        <w:rPr>
          <w:sz w:val="20"/>
          <w:szCs w:val="20"/>
        </w:rPr>
        <w:t xml:space="preserve"> доказателств</w:t>
      </w:r>
      <w:r>
        <w:rPr>
          <w:sz w:val="20"/>
          <w:szCs w:val="20"/>
        </w:rPr>
        <w:t>а</w:t>
      </w:r>
      <w:r w:rsidRPr="00346E3F">
        <w:rPr>
          <w:sz w:val="20"/>
          <w:szCs w:val="20"/>
        </w:rPr>
        <w:t xml:space="preserve"> </w:t>
      </w:r>
      <w:r>
        <w:rPr>
          <w:sz w:val="20"/>
          <w:szCs w:val="20"/>
        </w:rPr>
        <w:t>№</w:t>
      </w:r>
      <w:r w:rsidRPr="00346E3F">
        <w:rPr>
          <w:sz w:val="20"/>
          <w:szCs w:val="20"/>
        </w:rPr>
        <w:t xml:space="preserve"> 9</w:t>
      </w:r>
      <w:r>
        <w:rPr>
          <w:sz w:val="20"/>
          <w:szCs w:val="20"/>
        </w:rPr>
        <w:t xml:space="preserve"> и </w:t>
      </w:r>
      <w:r w:rsidRPr="00346E3F">
        <w:rPr>
          <w:sz w:val="20"/>
          <w:szCs w:val="20"/>
        </w:rPr>
        <w:t>№</w:t>
      </w:r>
      <w:r>
        <w:rPr>
          <w:sz w:val="20"/>
          <w:szCs w:val="20"/>
        </w:rPr>
        <w:t xml:space="preserve"> </w:t>
      </w:r>
      <w:r w:rsidRPr="00346E3F">
        <w:rPr>
          <w:sz w:val="20"/>
          <w:szCs w:val="20"/>
        </w:rPr>
        <w:t>10</w:t>
      </w:r>
    </w:p>
  </w:footnote>
  <w:footnote w:id="30">
    <w:p w:rsidR="003C736D" w:rsidRPr="00346E3F" w:rsidRDefault="003C736D" w:rsidP="004F4CBD">
      <w:pPr>
        <w:jc w:val="both"/>
      </w:pPr>
      <w:r w:rsidRPr="00346E3F">
        <w:rPr>
          <w:rStyle w:val="FootnoteReference"/>
          <w:sz w:val="20"/>
          <w:szCs w:val="20"/>
        </w:rPr>
        <w:footnoteRef/>
      </w:r>
      <w:r w:rsidRPr="00346E3F">
        <w:rPr>
          <w:sz w:val="20"/>
          <w:szCs w:val="20"/>
        </w:rPr>
        <w:t xml:space="preserve"> Одитно доказателство № 10</w:t>
      </w:r>
    </w:p>
  </w:footnote>
  <w:footnote w:id="31">
    <w:p w:rsidR="003C736D" w:rsidRPr="00346E3F" w:rsidRDefault="003C736D" w:rsidP="004F4CBD">
      <w:pPr>
        <w:jc w:val="both"/>
      </w:pPr>
      <w:r w:rsidRPr="00346E3F">
        <w:rPr>
          <w:rStyle w:val="FootnoteReference"/>
          <w:sz w:val="20"/>
          <w:szCs w:val="20"/>
        </w:rPr>
        <w:footnoteRef/>
      </w:r>
      <w:r w:rsidRPr="00346E3F">
        <w:rPr>
          <w:sz w:val="20"/>
          <w:szCs w:val="20"/>
        </w:rPr>
        <w:t xml:space="preserve"> Одитно доказателство № 11</w:t>
      </w:r>
    </w:p>
  </w:footnote>
  <w:footnote w:id="32">
    <w:p w:rsidR="003C736D" w:rsidRPr="00346E3F" w:rsidRDefault="003C736D" w:rsidP="004F4CBD">
      <w:pPr>
        <w:jc w:val="both"/>
      </w:pPr>
      <w:r w:rsidRPr="00346E3F">
        <w:rPr>
          <w:rStyle w:val="FootnoteReference"/>
          <w:sz w:val="20"/>
          <w:szCs w:val="20"/>
        </w:rPr>
        <w:footnoteRef/>
      </w:r>
      <w:r w:rsidRPr="00346E3F">
        <w:rPr>
          <w:sz w:val="20"/>
          <w:szCs w:val="20"/>
        </w:rPr>
        <w:t xml:space="preserve"> Одитн</w:t>
      </w:r>
      <w:r>
        <w:rPr>
          <w:sz w:val="20"/>
          <w:szCs w:val="20"/>
        </w:rPr>
        <w:t>и</w:t>
      </w:r>
      <w:r w:rsidRPr="00346E3F">
        <w:rPr>
          <w:sz w:val="20"/>
          <w:szCs w:val="20"/>
        </w:rPr>
        <w:t xml:space="preserve"> доказателств</w:t>
      </w:r>
      <w:r>
        <w:rPr>
          <w:sz w:val="20"/>
          <w:szCs w:val="20"/>
        </w:rPr>
        <w:t>а</w:t>
      </w:r>
      <w:r w:rsidRPr="00346E3F">
        <w:rPr>
          <w:sz w:val="20"/>
          <w:szCs w:val="20"/>
        </w:rPr>
        <w:t xml:space="preserve"> № 11</w:t>
      </w:r>
      <w:r>
        <w:rPr>
          <w:sz w:val="20"/>
          <w:szCs w:val="20"/>
        </w:rPr>
        <w:t>, № 12 и № 13</w:t>
      </w:r>
    </w:p>
  </w:footnote>
  <w:footnote w:id="33">
    <w:p w:rsidR="003C736D" w:rsidRPr="00322505" w:rsidRDefault="003C736D" w:rsidP="00DC597C">
      <w:pPr>
        <w:jc w:val="both"/>
      </w:pPr>
      <w:r w:rsidRPr="00346E3F">
        <w:rPr>
          <w:rStyle w:val="FootnoteReference"/>
          <w:sz w:val="20"/>
          <w:szCs w:val="20"/>
        </w:rPr>
        <w:footnoteRef/>
      </w:r>
      <w:r w:rsidRPr="00346E3F">
        <w:rPr>
          <w:sz w:val="20"/>
          <w:szCs w:val="20"/>
        </w:rPr>
        <w:t xml:space="preserve"> Одитно доказателство № 14</w:t>
      </w:r>
    </w:p>
  </w:footnote>
  <w:footnote w:id="34">
    <w:p w:rsidR="003C736D" w:rsidRPr="00346E3F" w:rsidRDefault="003C736D" w:rsidP="004F4CBD">
      <w:pPr>
        <w:pStyle w:val="FootnoteText"/>
      </w:pPr>
      <w:r w:rsidRPr="00346E3F">
        <w:rPr>
          <w:rStyle w:val="FootnoteReference"/>
        </w:rPr>
        <w:footnoteRef/>
      </w:r>
      <w:r w:rsidRPr="00346E3F">
        <w:t xml:space="preserve"> Одитно доказателство № 7</w:t>
      </w:r>
    </w:p>
  </w:footnote>
  <w:footnote w:id="35">
    <w:p w:rsidR="003C736D" w:rsidRPr="00346E3F" w:rsidRDefault="003C736D" w:rsidP="004F4CBD">
      <w:pPr>
        <w:jc w:val="both"/>
      </w:pPr>
      <w:r w:rsidRPr="00346E3F">
        <w:rPr>
          <w:rStyle w:val="FootnoteReference"/>
          <w:sz w:val="20"/>
          <w:szCs w:val="20"/>
        </w:rPr>
        <w:footnoteRef/>
      </w:r>
      <w:r w:rsidRPr="00346E3F">
        <w:rPr>
          <w:sz w:val="20"/>
          <w:szCs w:val="20"/>
        </w:rPr>
        <w:t xml:space="preserve"> Одитно доказателство № 15</w:t>
      </w:r>
    </w:p>
  </w:footnote>
  <w:footnote w:id="36">
    <w:p w:rsidR="003C736D" w:rsidRPr="00346E3F" w:rsidRDefault="003C736D" w:rsidP="004F4CBD">
      <w:pPr>
        <w:pStyle w:val="FootnoteText"/>
      </w:pPr>
      <w:r w:rsidRPr="00346E3F">
        <w:rPr>
          <w:rStyle w:val="FootnoteReference"/>
        </w:rPr>
        <w:footnoteRef/>
      </w:r>
      <w:r w:rsidRPr="00346E3F">
        <w:t xml:space="preserve"> </w:t>
      </w:r>
      <w:r>
        <w:t xml:space="preserve">Стар </w:t>
      </w:r>
      <w:r w:rsidRPr="00346E3F">
        <w:t xml:space="preserve">чл. 172, т. 5 от ТЗ </w:t>
      </w:r>
      <w:r w:rsidRPr="00346E3F">
        <w:rPr>
          <w:lang w:val="en-US"/>
        </w:rPr>
        <w:t>(</w:t>
      </w:r>
      <w:r w:rsidRPr="00346E3F">
        <w:t>ред. ДВ, бр. 25 от 27.03.1992 г.</w:t>
      </w:r>
      <w:r w:rsidRPr="00346E3F">
        <w:rPr>
          <w:lang w:val="en-US"/>
        </w:rPr>
        <w:t>)</w:t>
      </w:r>
    </w:p>
  </w:footnote>
  <w:footnote w:id="37">
    <w:p w:rsidR="003C736D" w:rsidRPr="00346E3F" w:rsidRDefault="003C736D" w:rsidP="00A101B0">
      <w:pPr>
        <w:pStyle w:val="BodyText"/>
        <w:spacing w:after="0"/>
        <w:jc w:val="both"/>
      </w:pPr>
      <w:r w:rsidRPr="00346E3F">
        <w:rPr>
          <w:rStyle w:val="FootnoteReference"/>
          <w:sz w:val="20"/>
        </w:rPr>
        <w:footnoteRef/>
      </w:r>
      <w:r w:rsidRPr="00346E3F">
        <w:rPr>
          <w:sz w:val="20"/>
        </w:rPr>
        <w:t xml:space="preserve"> Одитно доказателство № 13</w:t>
      </w:r>
    </w:p>
  </w:footnote>
  <w:footnote w:id="38">
    <w:p w:rsidR="003C736D" w:rsidRPr="00346E3F" w:rsidRDefault="003C736D" w:rsidP="00A101B0">
      <w:pPr>
        <w:jc w:val="both"/>
      </w:pPr>
      <w:r w:rsidRPr="00346E3F">
        <w:rPr>
          <w:rStyle w:val="FootnoteReference"/>
          <w:sz w:val="20"/>
          <w:szCs w:val="20"/>
        </w:rPr>
        <w:footnoteRef/>
      </w:r>
      <w:r w:rsidRPr="00346E3F">
        <w:rPr>
          <w:sz w:val="20"/>
          <w:szCs w:val="20"/>
        </w:rPr>
        <w:t xml:space="preserve"> Одитно доказателство № 16 </w:t>
      </w:r>
    </w:p>
  </w:footnote>
  <w:footnote w:id="39">
    <w:p w:rsidR="003C736D" w:rsidRPr="00346E3F" w:rsidRDefault="003C736D" w:rsidP="00A101B0">
      <w:pPr>
        <w:jc w:val="both"/>
        <w:rPr>
          <w:sz w:val="20"/>
          <w:szCs w:val="20"/>
        </w:rPr>
      </w:pPr>
      <w:r w:rsidRPr="00346E3F">
        <w:rPr>
          <w:rStyle w:val="FootnoteReference"/>
          <w:sz w:val="20"/>
          <w:szCs w:val="20"/>
        </w:rPr>
        <w:footnoteRef/>
      </w:r>
      <w:r w:rsidRPr="00346E3F">
        <w:rPr>
          <w:sz w:val="20"/>
          <w:szCs w:val="20"/>
        </w:rPr>
        <w:t xml:space="preserve"> Одитно доказателство № 6 </w:t>
      </w:r>
    </w:p>
  </w:footnote>
  <w:footnote w:id="40">
    <w:p w:rsidR="003C736D" w:rsidRPr="00346E3F" w:rsidRDefault="003C736D" w:rsidP="00A101B0">
      <w:pPr>
        <w:pStyle w:val="FootnoteText"/>
        <w:jc w:val="both"/>
      </w:pPr>
      <w:r w:rsidRPr="00346E3F">
        <w:rPr>
          <w:rStyle w:val="FootnoteReference"/>
        </w:rPr>
        <w:footnoteRef/>
      </w:r>
      <w:r w:rsidRPr="00346E3F">
        <w:t xml:space="preserve"> Одитно доказателство  № 17</w:t>
      </w:r>
    </w:p>
  </w:footnote>
  <w:footnote w:id="41">
    <w:p w:rsidR="003C736D" w:rsidRPr="00346E3F" w:rsidRDefault="003C736D" w:rsidP="00A101B0">
      <w:pPr>
        <w:jc w:val="both"/>
      </w:pPr>
      <w:r w:rsidRPr="00346E3F">
        <w:rPr>
          <w:rStyle w:val="FootnoteReference"/>
          <w:sz w:val="20"/>
          <w:szCs w:val="20"/>
        </w:rPr>
        <w:footnoteRef/>
      </w:r>
      <w:r w:rsidRPr="00346E3F">
        <w:rPr>
          <w:sz w:val="20"/>
          <w:szCs w:val="20"/>
        </w:rPr>
        <w:t xml:space="preserve"> Одитн</w:t>
      </w:r>
      <w:r>
        <w:rPr>
          <w:sz w:val="20"/>
          <w:szCs w:val="20"/>
        </w:rPr>
        <w:t>и</w:t>
      </w:r>
      <w:r w:rsidRPr="00346E3F">
        <w:rPr>
          <w:sz w:val="20"/>
          <w:szCs w:val="20"/>
        </w:rPr>
        <w:t xml:space="preserve"> доказателств</w:t>
      </w:r>
      <w:r>
        <w:rPr>
          <w:sz w:val="20"/>
          <w:szCs w:val="20"/>
        </w:rPr>
        <w:t>а №</w:t>
      </w:r>
      <w:r w:rsidRPr="00346E3F">
        <w:rPr>
          <w:sz w:val="20"/>
          <w:szCs w:val="20"/>
        </w:rPr>
        <w:t xml:space="preserve">  16</w:t>
      </w:r>
      <w:r>
        <w:rPr>
          <w:sz w:val="20"/>
          <w:szCs w:val="20"/>
        </w:rPr>
        <w:t xml:space="preserve"> и </w:t>
      </w:r>
      <w:r w:rsidRPr="00346E3F">
        <w:rPr>
          <w:sz w:val="20"/>
          <w:szCs w:val="20"/>
        </w:rPr>
        <w:t>№</w:t>
      </w:r>
      <w:r>
        <w:rPr>
          <w:sz w:val="20"/>
          <w:szCs w:val="20"/>
        </w:rPr>
        <w:t xml:space="preserve"> </w:t>
      </w:r>
      <w:r w:rsidRPr="00346E3F">
        <w:rPr>
          <w:sz w:val="20"/>
          <w:szCs w:val="20"/>
        </w:rPr>
        <w:t>18</w:t>
      </w:r>
    </w:p>
  </w:footnote>
  <w:footnote w:id="42">
    <w:p w:rsidR="003C736D" w:rsidRDefault="003C736D" w:rsidP="00333DAF">
      <w:pPr>
        <w:pStyle w:val="FootnoteText"/>
        <w:jc w:val="both"/>
      </w:pPr>
      <w:r>
        <w:rPr>
          <w:rStyle w:val="FootnoteReference"/>
        </w:rPr>
        <w:footnoteRef/>
      </w:r>
      <w:r>
        <w:t xml:space="preserve"> П</w:t>
      </w:r>
      <w:r w:rsidRPr="002463D2">
        <w:t>редставлявано от д-р Мариана Петрова Михайлова</w:t>
      </w:r>
      <w:r>
        <w:rPr>
          <w:rFonts w:eastAsia="Calibri"/>
          <w:lang w:eastAsia="en-US"/>
        </w:rPr>
        <w:t>, е</w:t>
      </w:r>
      <w:r w:rsidRPr="002463D2">
        <w:rPr>
          <w:rFonts w:eastAsia="Calibri"/>
          <w:lang w:eastAsia="en-US"/>
        </w:rPr>
        <w:t>ксперт-счетоводител и регистр</w:t>
      </w:r>
      <w:r>
        <w:rPr>
          <w:rFonts w:eastAsia="Calibri"/>
          <w:lang w:eastAsia="en-US"/>
        </w:rPr>
        <w:t>иран одитор с Д</w:t>
      </w:r>
      <w:r w:rsidRPr="002463D2">
        <w:rPr>
          <w:rFonts w:eastAsia="Calibri"/>
          <w:lang w:eastAsia="en-US"/>
        </w:rPr>
        <w:t>иплом</w:t>
      </w:r>
      <w:r>
        <w:rPr>
          <w:rFonts w:eastAsia="Calibri"/>
          <w:lang w:eastAsia="en-US"/>
        </w:rPr>
        <w:t>а</w:t>
      </w:r>
      <w:r w:rsidRPr="002463D2">
        <w:rPr>
          <w:rFonts w:eastAsia="Calibri"/>
          <w:lang w:eastAsia="en-US"/>
        </w:rPr>
        <w:t xml:space="preserve"> № 0203/21.01.2001 г</w:t>
      </w:r>
      <w:r>
        <w:rPr>
          <w:rFonts w:eastAsia="Calibri"/>
          <w:lang w:eastAsia="en-US"/>
        </w:rPr>
        <w:t>.</w:t>
      </w:r>
    </w:p>
  </w:footnote>
  <w:footnote w:id="43">
    <w:p w:rsidR="003C736D" w:rsidRPr="00346E3F" w:rsidRDefault="003C736D" w:rsidP="004F4CBD">
      <w:pPr>
        <w:jc w:val="both"/>
      </w:pPr>
      <w:r w:rsidRPr="00346E3F">
        <w:rPr>
          <w:rStyle w:val="FootnoteReference"/>
          <w:sz w:val="20"/>
          <w:szCs w:val="20"/>
        </w:rPr>
        <w:footnoteRef/>
      </w:r>
      <w:r w:rsidRPr="00346E3F">
        <w:rPr>
          <w:sz w:val="20"/>
          <w:szCs w:val="20"/>
        </w:rPr>
        <w:t xml:space="preserve"> Одитн</w:t>
      </w:r>
      <w:r>
        <w:rPr>
          <w:sz w:val="20"/>
          <w:szCs w:val="20"/>
        </w:rPr>
        <w:t>и</w:t>
      </w:r>
      <w:r w:rsidRPr="00346E3F">
        <w:rPr>
          <w:sz w:val="20"/>
          <w:szCs w:val="20"/>
        </w:rPr>
        <w:t xml:space="preserve"> доказателств</w:t>
      </w:r>
      <w:r>
        <w:rPr>
          <w:sz w:val="20"/>
          <w:szCs w:val="20"/>
        </w:rPr>
        <w:t>а</w:t>
      </w:r>
      <w:r w:rsidRPr="00346E3F">
        <w:rPr>
          <w:sz w:val="20"/>
          <w:szCs w:val="20"/>
        </w:rPr>
        <w:t xml:space="preserve"> №</w:t>
      </w:r>
      <w:r>
        <w:rPr>
          <w:sz w:val="20"/>
          <w:szCs w:val="20"/>
        </w:rPr>
        <w:t xml:space="preserve"> 19 и №</w:t>
      </w:r>
      <w:r w:rsidRPr="00346E3F">
        <w:rPr>
          <w:sz w:val="20"/>
          <w:szCs w:val="20"/>
        </w:rPr>
        <w:t xml:space="preserve"> 20</w:t>
      </w:r>
    </w:p>
  </w:footnote>
  <w:footnote w:id="44">
    <w:p w:rsidR="003C736D" w:rsidRPr="00C00F42" w:rsidRDefault="003C736D" w:rsidP="004F4CBD">
      <w:pPr>
        <w:jc w:val="both"/>
      </w:pPr>
      <w:r w:rsidRPr="00C00F42">
        <w:rPr>
          <w:rStyle w:val="FootnoteReference"/>
          <w:sz w:val="20"/>
          <w:szCs w:val="20"/>
        </w:rPr>
        <w:footnoteRef/>
      </w:r>
      <w:r w:rsidRPr="00C00F42">
        <w:rPr>
          <w:sz w:val="20"/>
          <w:szCs w:val="20"/>
        </w:rPr>
        <w:t xml:space="preserve"> Одитно доказателство № 21</w:t>
      </w:r>
    </w:p>
  </w:footnote>
  <w:footnote w:id="45">
    <w:p w:rsidR="003C736D" w:rsidRPr="00346E3F" w:rsidRDefault="003C736D" w:rsidP="004F4CBD">
      <w:pPr>
        <w:pStyle w:val="FootnoteText"/>
      </w:pPr>
      <w:r w:rsidRPr="00346E3F">
        <w:rPr>
          <w:rStyle w:val="FootnoteReference"/>
        </w:rPr>
        <w:footnoteRef/>
      </w:r>
      <w:r w:rsidRPr="00346E3F">
        <w:t xml:space="preserve"> ГФО за 2013 г. и  ГФО за 2014 г.</w:t>
      </w:r>
    </w:p>
  </w:footnote>
  <w:footnote w:id="46">
    <w:p w:rsidR="003C736D" w:rsidRPr="00346E3F" w:rsidRDefault="003C736D" w:rsidP="004F4CBD">
      <w:pPr>
        <w:jc w:val="both"/>
        <w:rPr>
          <w:sz w:val="20"/>
          <w:szCs w:val="20"/>
        </w:rPr>
      </w:pPr>
      <w:r w:rsidRPr="00346E3F">
        <w:rPr>
          <w:rStyle w:val="FootnoteReference"/>
          <w:sz w:val="20"/>
          <w:szCs w:val="20"/>
        </w:rPr>
        <w:footnoteRef/>
      </w:r>
      <w:r w:rsidRPr="00346E3F">
        <w:rPr>
          <w:sz w:val="20"/>
          <w:szCs w:val="20"/>
        </w:rPr>
        <w:t xml:space="preserve"> Одитно доказателство № 6</w:t>
      </w:r>
    </w:p>
  </w:footnote>
  <w:footnote w:id="47">
    <w:p w:rsidR="003C736D" w:rsidRPr="007B2AB0" w:rsidRDefault="003C736D" w:rsidP="004F4CBD">
      <w:pPr>
        <w:jc w:val="both"/>
      </w:pPr>
      <w:r w:rsidRPr="007B2AB0">
        <w:rPr>
          <w:rStyle w:val="FootnoteReference"/>
          <w:sz w:val="20"/>
          <w:szCs w:val="20"/>
        </w:rPr>
        <w:footnoteRef/>
      </w:r>
      <w:r w:rsidRPr="007B2AB0">
        <w:rPr>
          <w:sz w:val="20"/>
          <w:szCs w:val="20"/>
        </w:rPr>
        <w:t xml:space="preserve"> Одитно доказателство № 21 </w:t>
      </w:r>
    </w:p>
  </w:footnote>
  <w:footnote w:id="48">
    <w:p w:rsidR="003C736D" w:rsidRPr="00346E3F" w:rsidRDefault="003C736D" w:rsidP="004F4CBD">
      <w:pPr>
        <w:jc w:val="both"/>
        <w:rPr>
          <w:sz w:val="20"/>
          <w:szCs w:val="20"/>
        </w:rPr>
      </w:pPr>
      <w:r w:rsidRPr="00346E3F">
        <w:rPr>
          <w:rStyle w:val="FootnoteReference"/>
          <w:sz w:val="20"/>
          <w:szCs w:val="20"/>
        </w:rPr>
        <w:footnoteRef/>
      </w:r>
      <w:r w:rsidRPr="00346E3F">
        <w:rPr>
          <w:sz w:val="20"/>
          <w:szCs w:val="20"/>
        </w:rPr>
        <w:t xml:space="preserve"> Одитн</w:t>
      </w:r>
      <w:r>
        <w:rPr>
          <w:sz w:val="20"/>
          <w:szCs w:val="20"/>
        </w:rPr>
        <w:t>и</w:t>
      </w:r>
      <w:r w:rsidRPr="00346E3F">
        <w:rPr>
          <w:sz w:val="20"/>
          <w:szCs w:val="20"/>
        </w:rPr>
        <w:t xml:space="preserve"> доказателств</w:t>
      </w:r>
      <w:r>
        <w:rPr>
          <w:sz w:val="20"/>
          <w:szCs w:val="20"/>
        </w:rPr>
        <w:t>а</w:t>
      </w:r>
      <w:r w:rsidRPr="00346E3F">
        <w:rPr>
          <w:sz w:val="20"/>
          <w:szCs w:val="20"/>
        </w:rPr>
        <w:t xml:space="preserve"> </w:t>
      </w:r>
      <w:r>
        <w:rPr>
          <w:sz w:val="20"/>
          <w:szCs w:val="20"/>
        </w:rPr>
        <w:t>№</w:t>
      </w:r>
      <w:r w:rsidRPr="00346E3F">
        <w:rPr>
          <w:sz w:val="20"/>
          <w:szCs w:val="20"/>
        </w:rPr>
        <w:t xml:space="preserve"> 22</w:t>
      </w:r>
      <w:r>
        <w:rPr>
          <w:sz w:val="20"/>
          <w:szCs w:val="20"/>
        </w:rPr>
        <w:t xml:space="preserve"> и </w:t>
      </w:r>
      <w:r w:rsidRPr="00346E3F">
        <w:rPr>
          <w:sz w:val="20"/>
          <w:szCs w:val="20"/>
        </w:rPr>
        <w:t>№</w:t>
      </w:r>
      <w:r>
        <w:rPr>
          <w:sz w:val="20"/>
          <w:szCs w:val="20"/>
        </w:rPr>
        <w:t xml:space="preserve"> </w:t>
      </w:r>
      <w:r w:rsidRPr="00346E3F">
        <w:rPr>
          <w:rFonts w:eastAsia="Calibri"/>
          <w:sz w:val="20"/>
          <w:szCs w:val="20"/>
          <w:lang w:eastAsia="en-US"/>
        </w:rPr>
        <w:t>23</w:t>
      </w:r>
    </w:p>
  </w:footnote>
  <w:footnote w:id="49">
    <w:p w:rsidR="003C736D" w:rsidRPr="00346E3F" w:rsidRDefault="003C736D" w:rsidP="004F4CBD">
      <w:pPr>
        <w:jc w:val="both"/>
      </w:pPr>
      <w:r w:rsidRPr="00346E3F">
        <w:rPr>
          <w:rStyle w:val="FootnoteReference"/>
          <w:sz w:val="20"/>
          <w:szCs w:val="20"/>
        </w:rPr>
        <w:footnoteRef/>
      </w:r>
      <w:r w:rsidRPr="00346E3F">
        <w:rPr>
          <w:sz w:val="20"/>
          <w:szCs w:val="20"/>
        </w:rPr>
        <w:t xml:space="preserve"> Одитн</w:t>
      </w:r>
      <w:r>
        <w:rPr>
          <w:sz w:val="20"/>
          <w:szCs w:val="20"/>
        </w:rPr>
        <w:t>и</w:t>
      </w:r>
      <w:r w:rsidRPr="00346E3F">
        <w:rPr>
          <w:sz w:val="20"/>
          <w:szCs w:val="20"/>
        </w:rPr>
        <w:t xml:space="preserve"> доказателств</w:t>
      </w:r>
      <w:r>
        <w:rPr>
          <w:sz w:val="20"/>
          <w:szCs w:val="20"/>
        </w:rPr>
        <w:t>а</w:t>
      </w:r>
      <w:r w:rsidRPr="00346E3F">
        <w:rPr>
          <w:sz w:val="20"/>
          <w:szCs w:val="20"/>
        </w:rPr>
        <w:t xml:space="preserve"> </w:t>
      </w:r>
      <w:r>
        <w:rPr>
          <w:sz w:val="20"/>
          <w:szCs w:val="20"/>
        </w:rPr>
        <w:t>№</w:t>
      </w:r>
      <w:r w:rsidRPr="00346E3F">
        <w:rPr>
          <w:sz w:val="20"/>
          <w:szCs w:val="20"/>
        </w:rPr>
        <w:t>22</w:t>
      </w:r>
      <w:r>
        <w:rPr>
          <w:sz w:val="20"/>
          <w:szCs w:val="20"/>
        </w:rPr>
        <w:t xml:space="preserve"> и</w:t>
      </w:r>
      <w:r w:rsidRPr="00346E3F">
        <w:rPr>
          <w:rFonts w:eastAsia="Calibri"/>
          <w:sz w:val="20"/>
          <w:szCs w:val="20"/>
          <w:lang w:eastAsia="en-US"/>
        </w:rPr>
        <w:t xml:space="preserve"> </w:t>
      </w:r>
      <w:r w:rsidRPr="00346E3F">
        <w:rPr>
          <w:sz w:val="20"/>
          <w:szCs w:val="20"/>
        </w:rPr>
        <w:t>№</w:t>
      </w:r>
      <w:r>
        <w:rPr>
          <w:sz w:val="20"/>
          <w:szCs w:val="20"/>
        </w:rPr>
        <w:t xml:space="preserve"> </w:t>
      </w:r>
      <w:r w:rsidRPr="00346E3F">
        <w:rPr>
          <w:sz w:val="20"/>
          <w:szCs w:val="20"/>
        </w:rPr>
        <w:t xml:space="preserve"> </w:t>
      </w:r>
      <w:r w:rsidRPr="00346E3F">
        <w:rPr>
          <w:rFonts w:eastAsia="Calibri"/>
          <w:sz w:val="20"/>
          <w:szCs w:val="20"/>
          <w:lang w:eastAsia="en-US"/>
        </w:rPr>
        <w:t>24</w:t>
      </w:r>
    </w:p>
  </w:footnote>
  <w:footnote w:id="50">
    <w:p w:rsidR="003C736D" w:rsidRPr="00346E3F" w:rsidRDefault="003C736D" w:rsidP="004F4CBD">
      <w:pPr>
        <w:jc w:val="both"/>
        <w:rPr>
          <w:sz w:val="20"/>
          <w:szCs w:val="20"/>
        </w:rPr>
      </w:pPr>
      <w:r w:rsidRPr="00346E3F">
        <w:rPr>
          <w:rStyle w:val="FootnoteReference"/>
          <w:sz w:val="20"/>
          <w:szCs w:val="20"/>
        </w:rPr>
        <w:footnoteRef/>
      </w:r>
      <w:r w:rsidRPr="00346E3F">
        <w:rPr>
          <w:sz w:val="20"/>
          <w:szCs w:val="20"/>
        </w:rPr>
        <w:t xml:space="preserve"> Одитно доказателство № 18 </w:t>
      </w:r>
    </w:p>
  </w:footnote>
  <w:footnote w:id="51">
    <w:p w:rsidR="003C736D" w:rsidRPr="00346E3F" w:rsidRDefault="003C736D" w:rsidP="004F4CBD">
      <w:pPr>
        <w:jc w:val="both"/>
      </w:pPr>
      <w:r w:rsidRPr="00346E3F">
        <w:rPr>
          <w:rStyle w:val="FootnoteReference"/>
          <w:sz w:val="20"/>
          <w:szCs w:val="20"/>
        </w:rPr>
        <w:footnoteRef/>
      </w:r>
      <w:r w:rsidRPr="00346E3F">
        <w:rPr>
          <w:sz w:val="20"/>
          <w:szCs w:val="20"/>
        </w:rPr>
        <w:t xml:space="preserve"> Одитно доказателство № 16</w:t>
      </w:r>
    </w:p>
  </w:footnote>
  <w:footnote w:id="52">
    <w:p w:rsidR="003C736D" w:rsidRPr="00346E3F" w:rsidRDefault="003C736D" w:rsidP="004F4CBD">
      <w:pPr>
        <w:jc w:val="both"/>
        <w:rPr>
          <w:sz w:val="20"/>
          <w:szCs w:val="20"/>
        </w:rPr>
      </w:pPr>
      <w:r w:rsidRPr="00346E3F">
        <w:rPr>
          <w:rStyle w:val="FootnoteReference"/>
          <w:sz w:val="20"/>
          <w:szCs w:val="20"/>
        </w:rPr>
        <w:footnoteRef/>
      </w:r>
      <w:r w:rsidRPr="00346E3F">
        <w:rPr>
          <w:sz w:val="20"/>
          <w:szCs w:val="20"/>
        </w:rPr>
        <w:t xml:space="preserve"> </w:t>
      </w:r>
      <w:r w:rsidRPr="00346E3F">
        <w:rPr>
          <w:rFonts w:eastAsia="Calibri"/>
          <w:sz w:val="20"/>
          <w:szCs w:val="20"/>
          <w:lang w:eastAsia="en-US"/>
        </w:rPr>
        <w:t xml:space="preserve">от Съвет на директорите с членове: Марио Примджанов, Цветко Начев и Николай Боршуков </w:t>
      </w:r>
      <w:r w:rsidRPr="00346E3F">
        <w:rPr>
          <w:rFonts w:eastAsia="Calibri"/>
          <w:sz w:val="20"/>
          <w:szCs w:val="20"/>
          <w:lang w:val="en-US" w:eastAsia="en-US"/>
        </w:rPr>
        <w:t>(</w:t>
      </w:r>
      <w:r w:rsidRPr="00346E3F">
        <w:rPr>
          <w:rFonts w:eastAsia="Calibri"/>
          <w:sz w:val="20"/>
          <w:szCs w:val="20"/>
          <w:lang w:eastAsia="en-US"/>
        </w:rPr>
        <w:t>период: 24.07.2013 г. – 31.10.2013 г.</w:t>
      </w:r>
      <w:r w:rsidRPr="00346E3F">
        <w:rPr>
          <w:rFonts w:eastAsia="Calibri"/>
          <w:sz w:val="20"/>
          <w:szCs w:val="20"/>
          <w:lang w:val="en-US" w:eastAsia="en-US"/>
        </w:rPr>
        <w:t>)</w:t>
      </w:r>
      <w:r w:rsidRPr="00346E3F">
        <w:rPr>
          <w:rFonts w:eastAsia="Calibri"/>
          <w:sz w:val="20"/>
          <w:szCs w:val="20"/>
          <w:lang w:eastAsia="en-US"/>
        </w:rPr>
        <w:t>; Одитно доказателство № 23</w:t>
      </w:r>
    </w:p>
  </w:footnote>
  <w:footnote w:id="53">
    <w:p w:rsidR="003C736D" w:rsidRPr="00346E3F" w:rsidRDefault="003C736D" w:rsidP="004F4CBD">
      <w:pPr>
        <w:jc w:val="both"/>
      </w:pPr>
      <w:r w:rsidRPr="00346E3F">
        <w:rPr>
          <w:rStyle w:val="FootnoteReference"/>
          <w:sz w:val="20"/>
          <w:szCs w:val="20"/>
        </w:rPr>
        <w:footnoteRef/>
      </w:r>
      <w:r w:rsidRPr="00346E3F">
        <w:rPr>
          <w:sz w:val="20"/>
          <w:szCs w:val="20"/>
        </w:rPr>
        <w:t xml:space="preserve"> </w:t>
      </w:r>
      <w:r w:rsidRPr="00346E3F">
        <w:rPr>
          <w:rFonts w:eastAsia="Calibri"/>
          <w:sz w:val="20"/>
          <w:szCs w:val="20"/>
          <w:lang w:eastAsia="en-US"/>
        </w:rPr>
        <w:t>Одитно доказателство № 23</w:t>
      </w:r>
    </w:p>
  </w:footnote>
  <w:footnote w:id="54">
    <w:p w:rsidR="003C736D" w:rsidRPr="00346E3F" w:rsidRDefault="003C736D" w:rsidP="004F4CBD">
      <w:pPr>
        <w:pStyle w:val="FootnoteText"/>
        <w:jc w:val="both"/>
      </w:pPr>
      <w:r w:rsidRPr="00346E3F">
        <w:rPr>
          <w:rStyle w:val="FootnoteReference"/>
        </w:rPr>
        <w:footnoteRef/>
      </w:r>
      <w:r w:rsidRPr="00346E3F">
        <w:t xml:space="preserve"> Одитно доказателство № 25</w:t>
      </w:r>
    </w:p>
  </w:footnote>
  <w:footnote w:id="55">
    <w:p w:rsidR="003C736D" w:rsidRPr="00346E3F" w:rsidRDefault="003C736D" w:rsidP="004F4CBD">
      <w:pPr>
        <w:jc w:val="both"/>
      </w:pPr>
      <w:r w:rsidRPr="00346E3F">
        <w:rPr>
          <w:rStyle w:val="FootnoteReference"/>
          <w:sz w:val="20"/>
          <w:szCs w:val="20"/>
        </w:rPr>
        <w:footnoteRef/>
      </w:r>
      <w:r w:rsidRPr="00346E3F">
        <w:rPr>
          <w:sz w:val="20"/>
          <w:szCs w:val="20"/>
        </w:rPr>
        <w:t xml:space="preserve"> </w:t>
      </w:r>
      <w:r w:rsidRPr="00346E3F">
        <w:rPr>
          <w:rFonts w:eastAsia="Calibri"/>
          <w:sz w:val="20"/>
          <w:szCs w:val="20"/>
          <w:lang w:eastAsia="en-US"/>
        </w:rPr>
        <w:t>Одитно доказателство № 23</w:t>
      </w:r>
    </w:p>
  </w:footnote>
  <w:footnote w:id="56">
    <w:p w:rsidR="003C736D" w:rsidRPr="00346E3F" w:rsidRDefault="003C736D" w:rsidP="004F4CBD">
      <w:pPr>
        <w:jc w:val="both"/>
        <w:rPr>
          <w:sz w:val="20"/>
          <w:szCs w:val="20"/>
        </w:rPr>
      </w:pPr>
      <w:r w:rsidRPr="00346E3F">
        <w:rPr>
          <w:rStyle w:val="FootnoteReference"/>
          <w:sz w:val="20"/>
          <w:szCs w:val="20"/>
        </w:rPr>
        <w:footnoteRef/>
      </w:r>
      <w:r>
        <w:rPr>
          <w:sz w:val="20"/>
          <w:szCs w:val="20"/>
        </w:rPr>
        <w:t xml:space="preserve"> Одитни</w:t>
      </w:r>
      <w:r w:rsidRPr="00346E3F">
        <w:rPr>
          <w:sz w:val="20"/>
          <w:szCs w:val="20"/>
        </w:rPr>
        <w:t xml:space="preserve"> доказателств</w:t>
      </w:r>
      <w:r>
        <w:rPr>
          <w:sz w:val="20"/>
          <w:szCs w:val="20"/>
        </w:rPr>
        <w:t>а</w:t>
      </w:r>
      <w:r w:rsidRPr="00346E3F">
        <w:rPr>
          <w:sz w:val="20"/>
          <w:szCs w:val="20"/>
        </w:rPr>
        <w:t xml:space="preserve"> </w:t>
      </w:r>
      <w:r>
        <w:rPr>
          <w:sz w:val="20"/>
          <w:szCs w:val="20"/>
        </w:rPr>
        <w:t>№</w:t>
      </w:r>
      <w:r w:rsidRPr="00346E3F">
        <w:rPr>
          <w:sz w:val="20"/>
          <w:szCs w:val="20"/>
        </w:rPr>
        <w:t xml:space="preserve"> 1</w:t>
      </w:r>
      <w:r>
        <w:rPr>
          <w:sz w:val="20"/>
          <w:szCs w:val="20"/>
        </w:rPr>
        <w:t xml:space="preserve"> и </w:t>
      </w:r>
      <w:r w:rsidRPr="00346E3F">
        <w:rPr>
          <w:sz w:val="20"/>
          <w:szCs w:val="20"/>
        </w:rPr>
        <w:t>№</w:t>
      </w:r>
      <w:r>
        <w:rPr>
          <w:sz w:val="20"/>
          <w:szCs w:val="20"/>
        </w:rPr>
        <w:t xml:space="preserve"> </w:t>
      </w:r>
      <w:r w:rsidRPr="00346E3F">
        <w:rPr>
          <w:sz w:val="20"/>
          <w:szCs w:val="20"/>
        </w:rPr>
        <w:t>22</w:t>
      </w:r>
    </w:p>
  </w:footnote>
  <w:footnote w:id="57">
    <w:p w:rsidR="003C736D" w:rsidRPr="00346E3F" w:rsidRDefault="003C736D" w:rsidP="004F4CBD">
      <w:pPr>
        <w:jc w:val="both"/>
      </w:pPr>
      <w:r w:rsidRPr="00346E3F">
        <w:rPr>
          <w:rStyle w:val="FootnoteReference"/>
          <w:sz w:val="20"/>
          <w:szCs w:val="20"/>
        </w:rPr>
        <w:footnoteRef/>
      </w:r>
      <w:r>
        <w:rPr>
          <w:sz w:val="20"/>
          <w:szCs w:val="20"/>
        </w:rPr>
        <w:t xml:space="preserve"> Одитни</w:t>
      </w:r>
      <w:r w:rsidRPr="00346E3F">
        <w:rPr>
          <w:sz w:val="20"/>
          <w:szCs w:val="20"/>
        </w:rPr>
        <w:t xml:space="preserve"> доказателств</w:t>
      </w:r>
      <w:r>
        <w:rPr>
          <w:sz w:val="20"/>
          <w:szCs w:val="20"/>
        </w:rPr>
        <w:t>а</w:t>
      </w:r>
      <w:r w:rsidRPr="00346E3F">
        <w:rPr>
          <w:sz w:val="20"/>
          <w:szCs w:val="20"/>
        </w:rPr>
        <w:t xml:space="preserve"> </w:t>
      </w:r>
      <w:r>
        <w:rPr>
          <w:sz w:val="20"/>
          <w:szCs w:val="20"/>
        </w:rPr>
        <w:t>№</w:t>
      </w:r>
      <w:r w:rsidRPr="00346E3F">
        <w:rPr>
          <w:sz w:val="20"/>
          <w:szCs w:val="20"/>
        </w:rPr>
        <w:t xml:space="preserve"> 22</w:t>
      </w:r>
      <w:r>
        <w:rPr>
          <w:sz w:val="20"/>
          <w:szCs w:val="20"/>
        </w:rPr>
        <w:t xml:space="preserve"> и</w:t>
      </w:r>
      <w:r w:rsidRPr="00346E3F">
        <w:rPr>
          <w:rFonts w:eastAsia="Calibri"/>
          <w:sz w:val="20"/>
          <w:szCs w:val="20"/>
          <w:lang w:eastAsia="en-US"/>
        </w:rPr>
        <w:t xml:space="preserve"> </w:t>
      </w:r>
      <w:r w:rsidRPr="00346E3F">
        <w:rPr>
          <w:sz w:val="20"/>
          <w:szCs w:val="20"/>
        </w:rPr>
        <w:t>№</w:t>
      </w:r>
      <w:r>
        <w:rPr>
          <w:sz w:val="20"/>
          <w:szCs w:val="20"/>
        </w:rPr>
        <w:t xml:space="preserve"> </w:t>
      </w:r>
      <w:r w:rsidRPr="00346E3F">
        <w:rPr>
          <w:rFonts w:eastAsia="Calibri"/>
          <w:sz w:val="20"/>
          <w:szCs w:val="20"/>
          <w:lang w:eastAsia="en-US"/>
        </w:rPr>
        <w:t>23</w:t>
      </w:r>
    </w:p>
  </w:footnote>
  <w:footnote w:id="58">
    <w:p w:rsidR="003C736D" w:rsidRPr="00346E3F" w:rsidRDefault="003C736D" w:rsidP="004F4CBD">
      <w:pPr>
        <w:jc w:val="both"/>
      </w:pPr>
      <w:r w:rsidRPr="00346E3F">
        <w:rPr>
          <w:rStyle w:val="FootnoteReference"/>
          <w:sz w:val="20"/>
          <w:szCs w:val="20"/>
        </w:rPr>
        <w:footnoteRef/>
      </w:r>
      <w:r w:rsidRPr="00346E3F">
        <w:rPr>
          <w:sz w:val="20"/>
          <w:szCs w:val="20"/>
        </w:rPr>
        <w:t xml:space="preserve"> Одитно доказателство № 18</w:t>
      </w:r>
      <w:r w:rsidRPr="00346E3F">
        <w:t xml:space="preserve"> </w:t>
      </w:r>
    </w:p>
  </w:footnote>
  <w:footnote w:id="59">
    <w:p w:rsidR="003C736D" w:rsidRPr="00346E3F" w:rsidRDefault="003C736D" w:rsidP="004F4CBD">
      <w:pPr>
        <w:pStyle w:val="FootnoteText"/>
        <w:jc w:val="both"/>
      </w:pPr>
      <w:r w:rsidRPr="00346E3F">
        <w:rPr>
          <w:rStyle w:val="FootnoteReference"/>
        </w:rPr>
        <w:footnoteRef/>
      </w:r>
      <w:r w:rsidRPr="00346E3F">
        <w:t xml:space="preserve"> Одитно доказателство № 26</w:t>
      </w:r>
    </w:p>
  </w:footnote>
  <w:footnote w:id="60">
    <w:p w:rsidR="003C736D" w:rsidRPr="00346E3F" w:rsidRDefault="003C736D" w:rsidP="004F4CBD">
      <w:pPr>
        <w:pStyle w:val="FootnoteText"/>
      </w:pPr>
      <w:r w:rsidRPr="00346E3F">
        <w:rPr>
          <w:rStyle w:val="FootnoteReference"/>
        </w:rPr>
        <w:footnoteRef/>
      </w:r>
      <w:r w:rsidRPr="00346E3F">
        <w:t xml:space="preserve"> Одитн</w:t>
      </w:r>
      <w:r>
        <w:t>и</w:t>
      </w:r>
      <w:r w:rsidRPr="00346E3F">
        <w:t xml:space="preserve"> доказателств</w:t>
      </w:r>
      <w:r>
        <w:t>а</w:t>
      </w:r>
      <w:r w:rsidRPr="00346E3F">
        <w:t xml:space="preserve"> </w:t>
      </w:r>
      <w:r>
        <w:t>№</w:t>
      </w:r>
      <w:r w:rsidRPr="00346E3F">
        <w:t xml:space="preserve"> 1</w:t>
      </w:r>
      <w:r>
        <w:t xml:space="preserve"> и </w:t>
      </w:r>
      <w:r w:rsidRPr="00346E3F">
        <w:t>№</w:t>
      </w:r>
      <w:r>
        <w:t xml:space="preserve"> </w:t>
      </w:r>
      <w:r w:rsidRPr="00346E3F">
        <w:t>27</w:t>
      </w:r>
    </w:p>
  </w:footnote>
  <w:footnote w:id="61">
    <w:p w:rsidR="003C736D" w:rsidRPr="00346E3F" w:rsidRDefault="003C736D" w:rsidP="004F4CBD">
      <w:pPr>
        <w:pStyle w:val="FootnoteText"/>
        <w:jc w:val="both"/>
      </w:pPr>
      <w:r w:rsidRPr="00346E3F">
        <w:rPr>
          <w:rStyle w:val="FootnoteReference"/>
        </w:rPr>
        <w:footnoteRef/>
      </w:r>
      <w:r w:rsidRPr="00346E3F">
        <w:t xml:space="preserve"> </w:t>
      </w:r>
      <w:r>
        <w:t>П</w:t>
      </w:r>
      <w:r w:rsidRPr="00346E3F">
        <w:t>рез одитирания период дружеството няма одобрена от принципала бизнес програма</w:t>
      </w:r>
      <w:r>
        <w:t>.</w:t>
      </w:r>
    </w:p>
  </w:footnote>
  <w:footnote w:id="62">
    <w:p w:rsidR="003C736D" w:rsidRPr="00346E3F" w:rsidRDefault="003C736D" w:rsidP="004F4CBD">
      <w:pPr>
        <w:jc w:val="both"/>
      </w:pPr>
      <w:r w:rsidRPr="00346E3F">
        <w:rPr>
          <w:rStyle w:val="FootnoteReference"/>
          <w:sz w:val="20"/>
          <w:szCs w:val="20"/>
        </w:rPr>
        <w:footnoteRef/>
      </w:r>
      <w:r w:rsidRPr="00346E3F">
        <w:rPr>
          <w:sz w:val="20"/>
          <w:szCs w:val="20"/>
        </w:rPr>
        <w:t xml:space="preserve"> Одитн</w:t>
      </w:r>
      <w:r>
        <w:rPr>
          <w:sz w:val="20"/>
          <w:szCs w:val="20"/>
        </w:rPr>
        <w:t>и</w:t>
      </w:r>
      <w:r w:rsidRPr="00346E3F">
        <w:rPr>
          <w:sz w:val="20"/>
          <w:szCs w:val="20"/>
        </w:rPr>
        <w:t xml:space="preserve"> доказателств</w:t>
      </w:r>
      <w:r>
        <w:rPr>
          <w:sz w:val="20"/>
          <w:szCs w:val="20"/>
        </w:rPr>
        <w:t>а</w:t>
      </w:r>
      <w:r w:rsidRPr="00346E3F">
        <w:rPr>
          <w:sz w:val="20"/>
          <w:szCs w:val="20"/>
        </w:rPr>
        <w:t xml:space="preserve"> </w:t>
      </w:r>
      <w:r>
        <w:rPr>
          <w:sz w:val="20"/>
          <w:szCs w:val="20"/>
        </w:rPr>
        <w:t>№</w:t>
      </w:r>
      <w:r w:rsidRPr="00346E3F">
        <w:rPr>
          <w:sz w:val="20"/>
          <w:szCs w:val="20"/>
        </w:rPr>
        <w:t xml:space="preserve"> </w:t>
      </w:r>
      <w:r>
        <w:rPr>
          <w:sz w:val="20"/>
          <w:szCs w:val="20"/>
        </w:rPr>
        <w:t xml:space="preserve">17 и </w:t>
      </w:r>
      <w:r w:rsidRPr="00346E3F">
        <w:rPr>
          <w:sz w:val="20"/>
          <w:szCs w:val="20"/>
        </w:rPr>
        <w:t>№</w:t>
      </w:r>
      <w:r>
        <w:rPr>
          <w:sz w:val="20"/>
          <w:szCs w:val="20"/>
        </w:rPr>
        <w:t xml:space="preserve"> </w:t>
      </w:r>
      <w:r w:rsidRPr="00346E3F">
        <w:rPr>
          <w:sz w:val="20"/>
          <w:szCs w:val="20"/>
        </w:rPr>
        <w:t>28</w:t>
      </w:r>
    </w:p>
  </w:footnote>
  <w:footnote w:id="63">
    <w:p w:rsidR="003C736D" w:rsidRPr="00346E3F" w:rsidRDefault="003C736D" w:rsidP="004F4CBD">
      <w:pPr>
        <w:jc w:val="both"/>
      </w:pPr>
      <w:r w:rsidRPr="00346E3F">
        <w:rPr>
          <w:rStyle w:val="FootnoteReference"/>
          <w:sz w:val="20"/>
          <w:szCs w:val="20"/>
        </w:rPr>
        <w:footnoteRef/>
      </w:r>
      <w:r w:rsidRPr="00346E3F">
        <w:rPr>
          <w:sz w:val="20"/>
          <w:szCs w:val="20"/>
        </w:rPr>
        <w:t xml:space="preserve"> Одитно доказателство № 29</w:t>
      </w:r>
    </w:p>
  </w:footnote>
  <w:footnote w:id="64">
    <w:p w:rsidR="003C736D" w:rsidRPr="00346E3F" w:rsidRDefault="003C736D" w:rsidP="004F4CBD">
      <w:pPr>
        <w:jc w:val="both"/>
      </w:pPr>
      <w:r w:rsidRPr="00346E3F">
        <w:rPr>
          <w:rStyle w:val="FootnoteReference"/>
          <w:sz w:val="20"/>
          <w:szCs w:val="20"/>
        </w:rPr>
        <w:footnoteRef/>
      </w:r>
      <w:r w:rsidRPr="00346E3F">
        <w:rPr>
          <w:sz w:val="20"/>
          <w:szCs w:val="20"/>
        </w:rPr>
        <w:t xml:space="preserve"> Одитно доказателство № 30 </w:t>
      </w:r>
    </w:p>
  </w:footnote>
  <w:footnote w:id="65">
    <w:p w:rsidR="003C736D" w:rsidRPr="00346E3F" w:rsidRDefault="003C736D" w:rsidP="00086611">
      <w:r w:rsidRPr="00346E3F">
        <w:rPr>
          <w:rStyle w:val="FootnoteReference"/>
          <w:sz w:val="20"/>
          <w:szCs w:val="20"/>
        </w:rPr>
        <w:footnoteRef/>
      </w:r>
      <w:r w:rsidRPr="00346E3F">
        <w:rPr>
          <w:sz w:val="20"/>
          <w:szCs w:val="20"/>
        </w:rPr>
        <w:t xml:space="preserve"> </w:t>
      </w:r>
      <w:r w:rsidRPr="00346E3F">
        <w:rPr>
          <w:rFonts w:eastAsia="Calibri"/>
          <w:sz w:val="20"/>
          <w:szCs w:val="20"/>
          <w:lang w:eastAsia="en-US"/>
        </w:rPr>
        <w:t xml:space="preserve">приети </w:t>
      </w:r>
      <w:r>
        <w:rPr>
          <w:rFonts w:eastAsia="Calibri"/>
          <w:sz w:val="20"/>
          <w:szCs w:val="20"/>
          <w:lang w:eastAsia="en-US"/>
        </w:rPr>
        <w:t>на осн.</w:t>
      </w:r>
      <w:r w:rsidRPr="00346E3F">
        <w:rPr>
          <w:rFonts w:eastAsia="Calibri"/>
          <w:sz w:val="20"/>
          <w:szCs w:val="20"/>
          <w:lang w:eastAsia="en-US"/>
        </w:rPr>
        <w:t xml:space="preserve"> чл. 244, ал. 2 от ТЗ и чл. 18, ал. 1, т. 1 от Устава на </w:t>
      </w:r>
      <w:r>
        <w:rPr>
          <w:rFonts w:eastAsia="Calibri"/>
          <w:sz w:val="20"/>
          <w:szCs w:val="20"/>
          <w:lang w:eastAsia="en-US"/>
        </w:rPr>
        <w:t>ТД</w:t>
      </w:r>
      <w:r w:rsidRPr="00346E3F">
        <w:rPr>
          <w:rFonts w:eastAsia="Calibri"/>
          <w:sz w:val="20"/>
          <w:szCs w:val="20"/>
          <w:lang w:eastAsia="en-US"/>
        </w:rPr>
        <w:t>;</w:t>
      </w:r>
      <w:r w:rsidRPr="00346E3F">
        <w:rPr>
          <w:sz w:val="20"/>
          <w:szCs w:val="20"/>
        </w:rPr>
        <w:t xml:space="preserve"> Одитно доказателство № 31</w:t>
      </w:r>
    </w:p>
  </w:footnote>
  <w:footnote w:id="66">
    <w:p w:rsidR="003C736D" w:rsidRPr="00346E3F" w:rsidRDefault="003C736D" w:rsidP="004F4CBD">
      <w:pPr>
        <w:pStyle w:val="FootnoteText"/>
        <w:jc w:val="both"/>
      </w:pPr>
      <w:r w:rsidRPr="00346E3F">
        <w:rPr>
          <w:rStyle w:val="FootnoteReference"/>
        </w:rPr>
        <w:footnoteRef/>
      </w:r>
      <w:r w:rsidRPr="00346E3F">
        <w:t xml:space="preserve"> Одитно доказателство № 32</w:t>
      </w:r>
      <w:r>
        <w:t xml:space="preserve"> и № 33</w:t>
      </w:r>
    </w:p>
  </w:footnote>
  <w:footnote w:id="67">
    <w:p w:rsidR="003C736D" w:rsidRPr="00346E3F" w:rsidRDefault="003C736D" w:rsidP="000B0931">
      <w:pPr>
        <w:pStyle w:val="FootnoteText"/>
        <w:jc w:val="both"/>
      </w:pPr>
      <w:r w:rsidRPr="00346E3F">
        <w:rPr>
          <w:rStyle w:val="FootnoteReference"/>
        </w:rPr>
        <w:footnoteRef/>
      </w:r>
      <w:r w:rsidRPr="00346E3F">
        <w:t xml:space="preserve"> Одитно доказателство № 34</w:t>
      </w:r>
      <w:r>
        <w:t xml:space="preserve"> и № 35</w:t>
      </w:r>
    </w:p>
  </w:footnote>
  <w:footnote w:id="68">
    <w:p w:rsidR="003C736D" w:rsidRPr="00346E3F" w:rsidRDefault="003C736D" w:rsidP="004F4CBD">
      <w:pPr>
        <w:pStyle w:val="FootnoteText"/>
      </w:pPr>
      <w:r w:rsidRPr="00346E3F">
        <w:rPr>
          <w:rStyle w:val="FootnoteReference"/>
        </w:rPr>
        <w:footnoteRef/>
      </w:r>
      <w:r w:rsidRPr="00346E3F">
        <w:t xml:space="preserve"> Одитно доказателство № 36 </w:t>
      </w:r>
    </w:p>
  </w:footnote>
  <w:footnote w:id="69">
    <w:p w:rsidR="003C736D" w:rsidRPr="00346E3F" w:rsidRDefault="003C736D" w:rsidP="004F4CBD">
      <w:pPr>
        <w:pStyle w:val="FootnoteText"/>
        <w:jc w:val="both"/>
      </w:pPr>
      <w:r w:rsidRPr="00346E3F">
        <w:rPr>
          <w:rStyle w:val="FootnoteReference"/>
        </w:rPr>
        <w:footnoteRef/>
      </w:r>
      <w:r w:rsidRPr="00346E3F">
        <w:t xml:space="preserve"> Одитно доказателство № 40</w:t>
      </w:r>
    </w:p>
  </w:footnote>
  <w:footnote w:id="70">
    <w:p w:rsidR="003C736D" w:rsidRPr="00346E3F" w:rsidRDefault="003C736D" w:rsidP="004F4CBD">
      <w:pPr>
        <w:pStyle w:val="FootnoteText"/>
      </w:pPr>
      <w:r w:rsidRPr="00346E3F">
        <w:rPr>
          <w:rStyle w:val="FootnoteReference"/>
        </w:rPr>
        <w:footnoteRef/>
      </w:r>
      <w:r w:rsidRPr="00346E3F">
        <w:t xml:space="preserve"> Одитно доказателство № 37 </w:t>
      </w:r>
    </w:p>
  </w:footnote>
  <w:footnote w:id="71">
    <w:p w:rsidR="003C736D" w:rsidRPr="00346E3F" w:rsidRDefault="003C736D" w:rsidP="004F4CBD">
      <w:pPr>
        <w:jc w:val="both"/>
        <w:rPr>
          <w:sz w:val="20"/>
          <w:szCs w:val="20"/>
        </w:rPr>
      </w:pPr>
      <w:r w:rsidRPr="00346E3F">
        <w:rPr>
          <w:rStyle w:val="FootnoteReference"/>
          <w:sz w:val="20"/>
          <w:szCs w:val="20"/>
        </w:rPr>
        <w:footnoteRef/>
      </w:r>
      <w:r w:rsidRPr="00346E3F">
        <w:rPr>
          <w:sz w:val="20"/>
          <w:szCs w:val="20"/>
        </w:rPr>
        <w:t xml:space="preserve"> Одитно доказателство № 38</w:t>
      </w:r>
    </w:p>
  </w:footnote>
  <w:footnote w:id="72">
    <w:p w:rsidR="003C736D" w:rsidRPr="00346E3F" w:rsidRDefault="003C736D" w:rsidP="004F4CBD">
      <w:pPr>
        <w:pStyle w:val="FootnoteText"/>
      </w:pPr>
      <w:r w:rsidRPr="00346E3F">
        <w:rPr>
          <w:rStyle w:val="FootnoteReference"/>
        </w:rPr>
        <w:footnoteRef/>
      </w:r>
      <w:r w:rsidRPr="00346E3F">
        <w:t xml:space="preserve"> Одитн</w:t>
      </w:r>
      <w:r>
        <w:t>и</w:t>
      </w:r>
      <w:r w:rsidRPr="00346E3F">
        <w:t xml:space="preserve"> доказателств</w:t>
      </w:r>
      <w:r>
        <w:t>а</w:t>
      </w:r>
      <w:r w:rsidRPr="00346E3F">
        <w:t xml:space="preserve"> </w:t>
      </w:r>
      <w:r>
        <w:t>№</w:t>
      </w:r>
      <w:r w:rsidRPr="00346E3F">
        <w:t xml:space="preserve"> 34</w:t>
      </w:r>
      <w:r>
        <w:t xml:space="preserve"> и </w:t>
      </w:r>
      <w:r w:rsidRPr="00346E3F">
        <w:t>№</w:t>
      </w:r>
      <w:r>
        <w:t xml:space="preserve"> </w:t>
      </w:r>
      <w:r w:rsidRPr="00346E3F">
        <w:t>38</w:t>
      </w:r>
    </w:p>
  </w:footnote>
  <w:footnote w:id="73">
    <w:p w:rsidR="003C736D" w:rsidRPr="001A47C9" w:rsidRDefault="003C736D" w:rsidP="004F4CBD">
      <w:pPr>
        <w:pStyle w:val="FootnoteText"/>
      </w:pPr>
      <w:r w:rsidRPr="001A47C9">
        <w:rPr>
          <w:rStyle w:val="FootnoteReference"/>
        </w:rPr>
        <w:footnoteRef/>
      </w:r>
      <w:r w:rsidRPr="001A47C9">
        <w:t xml:space="preserve"> Одитно доказателство № 31</w:t>
      </w:r>
    </w:p>
  </w:footnote>
  <w:footnote w:id="74">
    <w:p w:rsidR="003C736D" w:rsidRPr="001A47C9" w:rsidRDefault="003C736D" w:rsidP="00F71E99">
      <w:pPr>
        <w:jc w:val="both"/>
      </w:pPr>
      <w:r w:rsidRPr="001A47C9">
        <w:rPr>
          <w:rStyle w:val="FootnoteReference"/>
          <w:sz w:val="20"/>
          <w:szCs w:val="20"/>
        </w:rPr>
        <w:footnoteRef/>
      </w:r>
      <w:r w:rsidRPr="001A47C9">
        <w:rPr>
          <w:sz w:val="20"/>
          <w:szCs w:val="20"/>
        </w:rPr>
        <w:t xml:space="preserve"> Одитно доказателство № 39</w:t>
      </w:r>
    </w:p>
  </w:footnote>
  <w:footnote w:id="75">
    <w:p w:rsidR="003C736D" w:rsidRPr="001A47C9" w:rsidRDefault="003C736D" w:rsidP="004F4CBD">
      <w:pPr>
        <w:pStyle w:val="FootnoteText"/>
      </w:pPr>
      <w:r w:rsidRPr="001A47C9">
        <w:rPr>
          <w:rStyle w:val="FootnoteReference"/>
        </w:rPr>
        <w:footnoteRef/>
      </w:r>
      <w:r w:rsidRPr="001A47C9">
        <w:t xml:space="preserve"> Одитно доказателство № 50</w:t>
      </w:r>
    </w:p>
  </w:footnote>
  <w:footnote w:id="76">
    <w:p w:rsidR="003C736D" w:rsidRDefault="003C736D">
      <w:pPr>
        <w:pStyle w:val="FootnoteText"/>
      </w:pPr>
      <w:r>
        <w:rPr>
          <w:rStyle w:val="FootnoteReference"/>
        </w:rPr>
        <w:footnoteRef/>
      </w:r>
      <w:r>
        <w:t xml:space="preserve"> У</w:t>
      </w:r>
      <w:r w:rsidRPr="002463D2">
        <w:t>твърдени от изпълнителния директор със Заповед № 13-000916-1/19.04.2013 г.</w:t>
      </w:r>
    </w:p>
  </w:footnote>
  <w:footnote w:id="77">
    <w:p w:rsidR="003C736D" w:rsidRDefault="003C736D" w:rsidP="004F4CBD">
      <w:pPr>
        <w:pStyle w:val="FootnoteText"/>
      </w:pPr>
      <w:r>
        <w:rPr>
          <w:rStyle w:val="FootnoteReference"/>
        </w:rPr>
        <w:footnoteRef/>
      </w:r>
      <w:r>
        <w:t xml:space="preserve"> Одитни</w:t>
      </w:r>
      <w:r w:rsidRPr="00376990">
        <w:t xml:space="preserve"> доказателств</w:t>
      </w:r>
      <w:r>
        <w:t>а</w:t>
      </w:r>
      <w:r w:rsidRPr="00376990">
        <w:t xml:space="preserve"> </w:t>
      </w:r>
      <w:r>
        <w:t>№</w:t>
      </w:r>
      <w:r w:rsidRPr="00376990">
        <w:t xml:space="preserve"> </w:t>
      </w:r>
      <w:r>
        <w:t xml:space="preserve">33 и </w:t>
      </w:r>
      <w:r w:rsidRPr="00376990">
        <w:t>№</w:t>
      </w:r>
      <w:r>
        <w:t xml:space="preserve"> </w:t>
      </w:r>
      <w:r w:rsidRPr="00376990">
        <w:t>41</w:t>
      </w:r>
    </w:p>
  </w:footnote>
  <w:footnote w:id="78">
    <w:p w:rsidR="003C736D" w:rsidRDefault="003C736D">
      <w:pPr>
        <w:pStyle w:val="FootnoteText"/>
      </w:pPr>
      <w:r>
        <w:rPr>
          <w:rStyle w:val="FootnoteReference"/>
        </w:rPr>
        <w:footnoteRef/>
      </w:r>
      <w:r>
        <w:t xml:space="preserve"> Одитно доказателство № 36</w:t>
      </w:r>
    </w:p>
  </w:footnote>
  <w:footnote w:id="79">
    <w:p w:rsidR="003C736D" w:rsidRDefault="003C736D">
      <w:pPr>
        <w:pStyle w:val="FootnoteText"/>
      </w:pPr>
      <w:r>
        <w:rPr>
          <w:rStyle w:val="FootnoteReference"/>
        </w:rPr>
        <w:footnoteRef/>
      </w:r>
      <w:r>
        <w:t xml:space="preserve"> Одитни доказателства № 101 и № 106</w:t>
      </w:r>
    </w:p>
  </w:footnote>
  <w:footnote w:id="80">
    <w:p w:rsidR="003C736D" w:rsidRDefault="003C736D" w:rsidP="004F4CBD">
      <w:pPr>
        <w:pStyle w:val="FootnoteText"/>
      </w:pPr>
      <w:r w:rsidRPr="00346E3F">
        <w:rPr>
          <w:rStyle w:val="FootnoteReference"/>
        </w:rPr>
        <w:footnoteRef/>
      </w:r>
      <w:r>
        <w:t xml:space="preserve"> Одитни доказателства</w:t>
      </w:r>
      <w:r w:rsidRPr="00346E3F">
        <w:t xml:space="preserve"> </w:t>
      </w:r>
      <w:r>
        <w:t>№</w:t>
      </w:r>
      <w:r w:rsidRPr="00346E3F">
        <w:t xml:space="preserve"> 22</w:t>
      </w:r>
      <w:r>
        <w:t xml:space="preserve"> и</w:t>
      </w:r>
      <w:r w:rsidRPr="00346E3F">
        <w:rPr>
          <w:rFonts w:eastAsia="Calibri"/>
          <w:lang w:eastAsia="en-US"/>
        </w:rPr>
        <w:t xml:space="preserve"> </w:t>
      </w:r>
      <w:r w:rsidRPr="00346E3F">
        <w:t>№</w:t>
      </w:r>
      <w:r>
        <w:t xml:space="preserve"> </w:t>
      </w:r>
      <w:r w:rsidRPr="00346E3F">
        <w:rPr>
          <w:rFonts w:eastAsia="Calibri"/>
          <w:lang w:eastAsia="en-US"/>
        </w:rPr>
        <w:t>34</w:t>
      </w:r>
    </w:p>
  </w:footnote>
  <w:footnote w:id="81">
    <w:p w:rsidR="003C736D" w:rsidRPr="004A068D" w:rsidRDefault="003C736D" w:rsidP="004F4CBD">
      <w:pPr>
        <w:pStyle w:val="FootnoteText"/>
      </w:pPr>
      <w:r w:rsidRPr="004A068D">
        <w:rPr>
          <w:rStyle w:val="FootnoteReference"/>
        </w:rPr>
        <w:footnoteRef/>
      </w:r>
      <w:r w:rsidRPr="004A068D">
        <w:t xml:space="preserve"> </w:t>
      </w:r>
      <w:r>
        <w:t>Одитни</w:t>
      </w:r>
      <w:r w:rsidRPr="004A068D">
        <w:t xml:space="preserve"> доказателств</w:t>
      </w:r>
      <w:r>
        <w:t>а</w:t>
      </w:r>
      <w:r w:rsidRPr="004A068D">
        <w:t xml:space="preserve"> </w:t>
      </w:r>
      <w:r>
        <w:t>№</w:t>
      </w:r>
      <w:r w:rsidRPr="004A068D">
        <w:t xml:space="preserve"> 40</w:t>
      </w:r>
      <w:r>
        <w:t xml:space="preserve"> и </w:t>
      </w:r>
      <w:r w:rsidRPr="004A068D">
        <w:t>№</w:t>
      </w:r>
      <w:r>
        <w:t xml:space="preserve"> 100</w:t>
      </w:r>
    </w:p>
  </w:footnote>
  <w:footnote w:id="82">
    <w:p w:rsidR="003C736D" w:rsidRPr="00DE75D4" w:rsidRDefault="003C736D" w:rsidP="00805884">
      <w:pPr>
        <w:pStyle w:val="FootnoteText"/>
        <w:jc w:val="both"/>
        <w:rPr>
          <w:sz w:val="18"/>
          <w:szCs w:val="18"/>
        </w:rPr>
      </w:pPr>
      <w:r w:rsidRPr="00DE75D4">
        <w:rPr>
          <w:rStyle w:val="FootnoteReference"/>
          <w:sz w:val="18"/>
          <w:szCs w:val="18"/>
        </w:rPr>
        <w:footnoteRef/>
      </w:r>
      <w:r w:rsidRPr="00DE75D4">
        <w:rPr>
          <w:sz w:val="18"/>
          <w:szCs w:val="18"/>
        </w:rPr>
        <w:t xml:space="preserve"> „Политика по управление на човешките ресурси“, съдържаща и „Етичен кодекс“; „Вътрешни правила, изграждащи система за финансово управление и контрол в „Национална спортна база“ ЕАД</w:t>
      </w:r>
      <w:r w:rsidRPr="00230CE2">
        <w:rPr>
          <w:sz w:val="18"/>
          <w:szCs w:val="18"/>
        </w:rPr>
        <w:t>“, включващи „Система за финансово управление и контрол“, „Вътрешни правила за осъществяване на предварителен контрол“, „Стратегия за оценка и управление на риска“, „Вътрешни правила за прозрачно управление и за превенция и противодействие на корупцията“, „Вътрешни правила за спазване на информационната политика“, „Система за управление и контрол на активите“, „Правилник за счетоводния документооборот“, „Вътрешни правила относно процедура за осъществяване на мониторинг“; „Вътрешни правила за провеждане на процедури по възлагане на обществени поръчки в „НСБ“ ЕАД“; „Вътрешни правила за поддържане на профила на купувача в „НСБ“ ЕАД; „Система от правила, касаещи начина и реда за провеждане на състезателни процедури относно отдаването под наем на дълготрайни материални активи/или движими вещи, собственост на „НСБ“ ЕАД“; „Счетоводна политика“, „Индивидуален сметкоплан“ и други.</w:t>
      </w:r>
    </w:p>
  </w:footnote>
  <w:footnote w:id="83">
    <w:p w:rsidR="003C736D" w:rsidRPr="00421123" w:rsidRDefault="003C736D" w:rsidP="004F4CBD">
      <w:pPr>
        <w:pStyle w:val="FootnoteText"/>
      </w:pPr>
      <w:r w:rsidRPr="005D3EC6">
        <w:rPr>
          <w:rStyle w:val="FootnoteReference"/>
        </w:rPr>
        <w:footnoteRef/>
      </w:r>
      <w:r w:rsidRPr="005D3EC6">
        <w:t xml:space="preserve"> Одитно доказателство № 101</w:t>
      </w:r>
    </w:p>
  </w:footnote>
  <w:footnote w:id="84">
    <w:p w:rsidR="003C736D" w:rsidRPr="00616A50" w:rsidRDefault="003C736D" w:rsidP="004F4CBD">
      <w:pPr>
        <w:pStyle w:val="FootnoteText"/>
      </w:pPr>
      <w:r w:rsidRPr="00616A50">
        <w:rPr>
          <w:rStyle w:val="FootnoteReference"/>
        </w:rPr>
        <w:footnoteRef/>
      </w:r>
      <w:r w:rsidRPr="00616A50">
        <w:t xml:space="preserve"> Одитно доказателство № 27</w:t>
      </w:r>
    </w:p>
  </w:footnote>
  <w:footnote w:id="85">
    <w:p w:rsidR="003C736D" w:rsidRPr="00616A50" w:rsidRDefault="003C736D" w:rsidP="004F4CBD">
      <w:pPr>
        <w:pStyle w:val="FootnoteText"/>
      </w:pPr>
      <w:r w:rsidRPr="00616A50">
        <w:rPr>
          <w:rStyle w:val="FootnoteReference"/>
        </w:rPr>
        <w:footnoteRef/>
      </w:r>
      <w:r w:rsidRPr="00616A50">
        <w:t xml:space="preserve"> Одитно доказателство № 27</w:t>
      </w:r>
    </w:p>
  </w:footnote>
  <w:footnote w:id="86">
    <w:p w:rsidR="003C736D" w:rsidRPr="00857EB0" w:rsidRDefault="003C736D" w:rsidP="004F4CBD">
      <w:pPr>
        <w:pStyle w:val="FootnoteText"/>
      </w:pPr>
      <w:r w:rsidRPr="00857EB0">
        <w:rPr>
          <w:rStyle w:val="FootnoteReference"/>
        </w:rPr>
        <w:footnoteRef/>
      </w:r>
      <w:r w:rsidRPr="00857EB0">
        <w:t xml:space="preserve"> дял от общия размер на приходите от основна дейност, в проценти</w:t>
      </w:r>
    </w:p>
  </w:footnote>
  <w:footnote w:id="87">
    <w:p w:rsidR="003C736D" w:rsidRPr="00857EB0" w:rsidRDefault="003C736D" w:rsidP="004F4CBD">
      <w:pPr>
        <w:pStyle w:val="FootnoteText"/>
      </w:pPr>
      <w:r w:rsidRPr="00857EB0">
        <w:rPr>
          <w:rStyle w:val="FootnoteReference"/>
        </w:rPr>
        <w:footnoteRef/>
      </w:r>
      <w:r w:rsidRPr="00857EB0">
        <w:t xml:space="preserve"> дял от общия размер на приходите от основна дейност, в проценти</w:t>
      </w:r>
    </w:p>
  </w:footnote>
  <w:footnote w:id="88">
    <w:p w:rsidR="003C736D" w:rsidRPr="00857EB0" w:rsidRDefault="003C736D" w:rsidP="004F4CBD">
      <w:pPr>
        <w:pStyle w:val="FootnoteText"/>
      </w:pPr>
      <w:r w:rsidRPr="00857EB0">
        <w:rPr>
          <w:rStyle w:val="FootnoteReference"/>
        </w:rPr>
        <w:footnoteRef/>
      </w:r>
      <w:r w:rsidRPr="00857EB0">
        <w:t xml:space="preserve"> дял от общия размер на приходите от основна дейност, в проценти</w:t>
      </w:r>
    </w:p>
  </w:footnote>
  <w:footnote w:id="89">
    <w:p w:rsidR="003C736D" w:rsidRPr="00857EB0" w:rsidRDefault="003C736D" w:rsidP="004F4CBD">
      <w:pPr>
        <w:pStyle w:val="FootnoteText"/>
      </w:pPr>
      <w:r w:rsidRPr="00857EB0">
        <w:rPr>
          <w:rStyle w:val="FootnoteReference"/>
        </w:rPr>
        <w:footnoteRef/>
      </w:r>
      <w:r w:rsidRPr="00857EB0">
        <w:t xml:space="preserve"> хотелски услуги, услуги със спортни съоръжения, отдаване под наем на прилежащи помещения и площи</w:t>
      </w:r>
    </w:p>
  </w:footnote>
  <w:footnote w:id="90">
    <w:p w:rsidR="003C736D" w:rsidRPr="00857EB0" w:rsidRDefault="003C736D" w:rsidP="004F4CBD">
      <w:pPr>
        <w:pStyle w:val="FootnoteText"/>
      </w:pPr>
      <w:r w:rsidRPr="00857EB0">
        <w:rPr>
          <w:rStyle w:val="FootnoteReference"/>
        </w:rPr>
        <w:footnoteRef/>
      </w:r>
      <w:r w:rsidRPr="00857EB0">
        <w:t xml:space="preserve"> хранителни и нехранителни готови стоки в кафе-барове</w:t>
      </w:r>
    </w:p>
  </w:footnote>
  <w:footnote w:id="91">
    <w:p w:rsidR="003C736D" w:rsidRPr="00857EB0" w:rsidRDefault="003C736D" w:rsidP="004F4CBD">
      <w:pPr>
        <w:pStyle w:val="FootnoteText"/>
      </w:pPr>
      <w:r w:rsidRPr="00857EB0">
        <w:rPr>
          <w:rStyle w:val="FootnoteReference"/>
        </w:rPr>
        <w:footnoteRef/>
      </w:r>
      <w:r w:rsidRPr="00857EB0">
        <w:t xml:space="preserve"> данните са за 2014 г.</w:t>
      </w:r>
    </w:p>
  </w:footnote>
  <w:footnote w:id="92">
    <w:p w:rsidR="003C736D" w:rsidRPr="00857EB0" w:rsidRDefault="003C736D" w:rsidP="004F4CBD">
      <w:pPr>
        <w:pStyle w:val="FootnoteText"/>
      </w:pPr>
      <w:r w:rsidRPr="00857EB0">
        <w:rPr>
          <w:rStyle w:val="FootnoteReference"/>
        </w:rPr>
        <w:footnoteRef/>
      </w:r>
      <w:r w:rsidRPr="00857EB0">
        <w:t xml:space="preserve"> данните са за 2014 г.</w:t>
      </w:r>
    </w:p>
  </w:footnote>
  <w:footnote w:id="93">
    <w:p w:rsidR="003C736D" w:rsidRPr="00774AFB" w:rsidRDefault="003C736D" w:rsidP="004F4CBD">
      <w:pPr>
        <w:pStyle w:val="FootnoteText"/>
      </w:pPr>
      <w:r w:rsidRPr="00774AFB">
        <w:rPr>
          <w:rStyle w:val="FootnoteReference"/>
        </w:rPr>
        <w:footnoteRef/>
      </w:r>
      <w:r w:rsidRPr="00774AFB">
        <w:t xml:space="preserve"> Одитно доказателство № 27</w:t>
      </w:r>
    </w:p>
  </w:footnote>
  <w:footnote w:id="94">
    <w:p w:rsidR="003C736D" w:rsidRPr="00774AFB" w:rsidRDefault="003C736D" w:rsidP="004F4CBD">
      <w:pPr>
        <w:jc w:val="both"/>
        <w:rPr>
          <w:sz w:val="20"/>
          <w:szCs w:val="20"/>
        </w:rPr>
      </w:pPr>
      <w:r w:rsidRPr="00774AFB">
        <w:rPr>
          <w:rStyle w:val="FootnoteReference"/>
          <w:sz w:val="20"/>
          <w:szCs w:val="20"/>
        </w:rPr>
        <w:footnoteRef/>
      </w:r>
      <w:r w:rsidRPr="00774AFB">
        <w:rPr>
          <w:sz w:val="20"/>
          <w:szCs w:val="20"/>
        </w:rPr>
        <w:t xml:space="preserve"> Одитно доказателство № 10</w:t>
      </w:r>
    </w:p>
  </w:footnote>
  <w:footnote w:id="95">
    <w:p w:rsidR="003C736D" w:rsidRPr="00774AFB" w:rsidRDefault="003C736D" w:rsidP="004F4CBD">
      <w:pPr>
        <w:pStyle w:val="FootnoteText"/>
      </w:pPr>
      <w:r w:rsidRPr="00774AFB">
        <w:rPr>
          <w:rStyle w:val="FootnoteReference"/>
        </w:rPr>
        <w:footnoteRef/>
      </w:r>
      <w:r w:rsidRPr="00774AFB">
        <w:t xml:space="preserve"> Одитно доказателство № 27</w:t>
      </w:r>
    </w:p>
  </w:footnote>
  <w:footnote w:id="96">
    <w:p w:rsidR="003C736D" w:rsidRPr="00774AFB" w:rsidRDefault="003C736D" w:rsidP="004F4CBD">
      <w:pPr>
        <w:pStyle w:val="FootnoteText"/>
      </w:pPr>
      <w:r w:rsidRPr="00774AFB">
        <w:rPr>
          <w:rStyle w:val="FootnoteReference"/>
        </w:rPr>
        <w:footnoteRef/>
      </w:r>
      <w:r w:rsidRPr="00774AFB">
        <w:t xml:space="preserve"> Одитно доказателство № 42</w:t>
      </w:r>
    </w:p>
  </w:footnote>
  <w:footnote w:id="97">
    <w:p w:rsidR="003C736D" w:rsidRPr="00774AFB" w:rsidRDefault="003C736D" w:rsidP="004F4CBD">
      <w:pPr>
        <w:pStyle w:val="FootnoteText"/>
      </w:pPr>
      <w:r w:rsidRPr="00774AFB">
        <w:rPr>
          <w:rStyle w:val="FootnoteReference"/>
        </w:rPr>
        <w:footnoteRef/>
      </w:r>
      <w:r w:rsidRPr="00774AFB">
        <w:t xml:space="preserve"> Одитно доказателство № 43</w:t>
      </w:r>
    </w:p>
  </w:footnote>
  <w:footnote w:id="98">
    <w:p w:rsidR="003C736D" w:rsidRPr="00774AFB" w:rsidRDefault="003C736D" w:rsidP="004F4CBD">
      <w:pPr>
        <w:pStyle w:val="FootnoteText"/>
      </w:pPr>
      <w:r w:rsidRPr="00774AFB">
        <w:rPr>
          <w:rStyle w:val="FootnoteReference"/>
        </w:rPr>
        <w:footnoteRef/>
      </w:r>
      <w:r>
        <w:t xml:space="preserve"> Одитни</w:t>
      </w:r>
      <w:r w:rsidRPr="00774AFB">
        <w:t xml:space="preserve"> доказателств</w:t>
      </w:r>
      <w:r>
        <w:t>а</w:t>
      </w:r>
      <w:r w:rsidRPr="00774AFB">
        <w:t xml:space="preserve"> </w:t>
      </w:r>
      <w:r>
        <w:t>№</w:t>
      </w:r>
      <w:r w:rsidRPr="00774AFB">
        <w:t xml:space="preserve"> 13</w:t>
      </w:r>
      <w:r>
        <w:t xml:space="preserve"> и </w:t>
      </w:r>
      <w:r w:rsidRPr="00774AFB">
        <w:t>№</w:t>
      </w:r>
      <w:r>
        <w:t xml:space="preserve"> </w:t>
      </w:r>
      <w:r w:rsidRPr="00774AFB">
        <w:t>44</w:t>
      </w:r>
    </w:p>
  </w:footnote>
  <w:footnote w:id="99">
    <w:p w:rsidR="003C736D" w:rsidRPr="00774AFB" w:rsidRDefault="003C736D" w:rsidP="004F4CBD">
      <w:pPr>
        <w:pStyle w:val="FootnoteText"/>
      </w:pPr>
      <w:r w:rsidRPr="00774AFB">
        <w:rPr>
          <w:rStyle w:val="FootnoteReference"/>
        </w:rPr>
        <w:footnoteRef/>
      </w:r>
      <w:r w:rsidRPr="00774AFB">
        <w:t xml:space="preserve"> със срок на погасяване над 1 година</w:t>
      </w:r>
    </w:p>
  </w:footnote>
  <w:footnote w:id="100">
    <w:p w:rsidR="003C736D" w:rsidRPr="00774AFB" w:rsidRDefault="003C736D" w:rsidP="004F4CBD">
      <w:pPr>
        <w:pStyle w:val="FootnoteText"/>
      </w:pPr>
      <w:r w:rsidRPr="00774AFB">
        <w:rPr>
          <w:rStyle w:val="FootnoteReference"/>
        </w:rPr>
        <w:footnoteRef/>
      </w:r>
      <w:r w:rsidRPr="00774AFB">
        <w:t xml:space="preserve"> Одитно доказателство № 13 </w:t>
      </w:r>
    </w:p>
  </w:footnote>
  <w:footnote w:id="101">
    <w:p w:rsidR="003C736D" w:rsidRPr="001A38D3" w:rsidRDefault="003C736D" w:rsidP="004F4CBD">
      <w:pPr>
        <w:pStyle w:val="FootnoteText"/>
      </w:pPr>
      <w:r w:rsidRPr="00774AFB">
        <w:rPr>
          <w:rStyle w:val="FootnoteReference"/>
        </w:rPr>
        <w:footnoteRef/>
      </w:r>
      <w:r w:rsidRPr="00774AFB">
        <w:t xml:space="preserve"> Одитно доказателство № 27</w:t>
      </w:r>
    </w:p>
  </w:footnote>
  <w:footnote w:id="102">
    <w:p w:rsidR="003C736D" w:rsidRPr="00896370" w:rsidRDefault="003C736D" w:rsidP="0059522B">
      <w:pPr>
        <w:autoSpaceDE w:val="0"/>
        <w:autoSpaceDN w:val="0"/>
        <w:adjustRightInd w:val="0"/>
        <w:jc w:val="both"/>
        <w:rPr>
          <w:spacing w:val="-2"/>
        </w:rPr>
      </w:pPr>
      <w:r>
        <w:rPr>
          <w:rStyle w:val="FootnoteReference"/>
        </w:rPr>
        <w:footnoteRef/>
      </w:r>
      <w:r>
        <w:t xml:space="preserve"> </w:t>
      </w:r>
      <w:r w:rsidRPr="000B4F86">
        <w:rPr>
          <w:rFonts w:eastAsia="Calibri"/>
          <w:sz w:val="18"/>
          <w:szCs w:val="18"/>
          <w:lang w:eastAsia="en-US"/>
        </w:rPr>
        <w:t>Рентабилността характеризира доколко дейността на дружеството е печеливша. Възприети са редица съотношения на рентабилността, базирани главно в</w:t>
      </w:r>
      <w:r>
        <w:rPr>
          <w:rFonts w:eastAsia="Calibri"/>
          <w:sz w:val="18"/>
          <w:szCs w:val="18"/>
          <w:lang w:eastAsia="en-US"/>
        </w:rPr>
        <w:t xml:space="preserve">ърху печалбата. Те </w:t>
      </w:r>
      <w:r w:rsidRPr="000B4F86">
        <w:rPr>
          <w:rFonts w:eastAsia="Calibri"/>
          <w:sz w:val="18"/>
          <w:szCs w:val="18"/>
          <w:lang w:eastAsia="en-US"/>
        </w:rPr>
        <w:t xml:space="preserve"> показват какъв е финансовият резултат, реализиран на единица  капитал – собствен, привлечен, инвестиран.</w:t>
      </w:r>
      <w:r w:rsidRPr="000B4F86">
        <w:rPr>
          <w:sz w:val="18"/>
          <w:szCs w:val="18"/>
        </w:rPr>
        <w:t xml:space="preserve"> </w:t>
      </w:r>
      <w:r w:rsidRPr="00896370">
        <w:rPr>
          <w:spacing w:val="-2"/>
          <w:sz w:val="18"/>
          <w:szCs w:val="18"/>
        </w:rPr>
        <w:t>Коефициентите за рентабилност са положителни величини, когато финансовият резултат е печалба, и отрицателни, когато финансовият резултат е загуба и показват степента на декапитализация на дружеството.</w:t>
      </w:r>
    </w:p>
  </w:footnote>
  <w:footnote w:id="103">
    <w:p w:rsidR="003C736D" w:rsidRDefault="003C736D" w:rsidP="00AB063B">
      <w:pPr>
        <w:jc w:val="both"/>
      </w:pPr>
      <w:r w:rsidRPr="00ED1B2A">
        <w:rPr>
          <w:rStyle w:val="FootnoteReference"/>
          <w:sz w:val="18"/>
          <w:szCs w:val="18"/>
        </w:rPr>
        <w:footnoteRef/>
      </w:r>
      <w:r w:rsidRPr="00ED1B2A">
        <w:rPr>
          <w:sz w:val="18"/>
          <w:szCs w:val="18"/>
        </w:rPr>
        <w:t xml:space="preserve"> Коефициентът за ефективност на разходите позволява да се определи колко приходи от дейността получава дружеството от използването на единица разходи за същата дейност. Благоприятно за дружеството е коефициентът за ефективност на разходите да расте.</w:t>
      </w:r>
    </w:p>
  </w:footnote>
  <w:footnote w:id="104">
    <w:p w:rsidR="003C736D" w:rsidRPr="00ED1B2A" w:rsidRDefault="003C736D" w:rsidP="00BB4043">
      <w:pPr>
        <w:jc w:val="both"/>
        <w:rPr>
          <w:sz w:val="18"/>
          <w:szCs w:val="18"/>
        </w:rPr>
      </w:pPr>
      <w:r w:rsidRPr="00ED1B2A">
        <w:rPr>
          <w:rStyle w:val="FootnoteReference"/>
          <w:sz w:val="18"/>
          <w:szCs w:val="18"/>
        </w:rPr>
        <w:footnoteRef/>
      </w:r>
      <w:r w:rsidRPr="00ED1B2A">
        <w:rPr>
          <w:sz w:val="18"/>
          <w:szCs w:val="18"/>
        </w:rPr>
        <w:t xml:space="preserve"> Коефициентът за ефективност на приходите е реципрочен на коефициента за ефективност на разходите. Той показва колко разходи са направени за единица приход. Благоприятна тенденция е коефициентът за ефективност на приходите да намалява.</w:t>
      </w:r>
    </w:p>
  </w:footnote>
  <w:footnote w:id="105">
    <w:p w:rsidR="003C736D" w:rsidRPr="00AB063B" w:rsidRDefault="003C736D" w:rsidP="00225F85">
      <w:pPr>
        <w:autoSpaceDE w:val="0"/>
        <w:autoSpaceDN w:val="0"/>
        <w:adjustRightInd w:val="0"/>
        <w:jc w:val="both"/>
        <w:rPr>
          <w:sz w:val="18"/>
          <w:szCs w:val="18"/>
        </w:rPr>
      </w:pPr>
      <w:r w:rsidRPr="00AB063B">
        <w:rPr>
          <w:rStyle w:val="FootnoteReference"/>
          <w:sz w:val="18"/>
          <w:szCs w:val="18"/>
        </w:rPr>
        <w:footnoteRef/>
      </w:r>
      <w:r w:rsidRPr="00AB063B">
        <w:rPr>
          <w:sz w:val="18"/>
          <w:szCs w:val="18"/>
        </w:rPr>
        <w:t xml:space="preserve"> </w:t>
      </w:r>
      <w:r w:rsidRPr="00AB063B">
        <w:rPr>
          <w:rFonts w:eastAsia="Calibri"/>
          <w:sz w:val="18"/>
          <w:szCs w:val="18"/>
          <w:lang w:eastAsia="en-US"/>
        </w:rPr>
        <w:t>Ликвидността, т.е. текущата платежоспособност, е една от най-важните характеристики на финансовото състояние на дружеството, определяща възможността за плащане на сметките и фактически е един от показателите за банкрут. Поради това анализът на ликвидността е от особено значение както за вътрешните, така и за външните потребители на информацията от финансовите отчети.</w:t>
      </w:r>
      <w:r>
        <w:rPr>
          <w:rFonts w:eastAsia="Calibri"/>
          <w:sz w:val="18"/>
          <w:szCs w:val="18"/>
          <w:lang w:eastAsia="en-US"/>
        </w:rPr>
        <w:t xml:space="preserve"> Целта на анализа</w:t>
      </w:r>
      <w:r w:rsidRPr="00AB063B">
        <w:rPr>
          <w:rFonts w:eastAsia="Calibri"/>
          <w:sz w:val="18"/>
          <w:szCs w:val="18"/>
          <w:lang w:eastAsia="en-US"/>
        </w:rPr>
        <w:t xml:space="preserve"> е да оцени способността на дружеството своевременно и в пълен обем да изпълни своите краткосрочни задължения за сметка на текущите си активи. В хода на анализа се изчисляват и интерпретират коефициенти на ликвидност, които характеризират потенциала на дружеството да се справи с възникналите краткосрочни проблеми по плащанията, използвайки реалните си краткотрайни активи. Коефициентите за ликвидност се изчисляват чрез съпоставяне на краткотрайните активи, или част от тях, и краткосрочните задължения. Не са желателни</w:t>
      </w:r>
      <w:r>
        <w:rPr>
          <w:rFonts w:eastAsia="Calibri"/>
          <w:sz w:val="18"/>
          <w:szCs w:val="18"/>
          <w:lang w:eastAsia="en-US"/>
        </w:rPr>
        <w:t>,</w:t>
      </w:r>
      <w:r w:rsidRPr="00AB063B">
        <w:rPr>
          <w:rFonts w:eastAsia="Calibri"/>
          <w:sz w:val="18"/>
          <w:szCs w:val="18"/>
          <w:lang w:eastAsia="en-US"/>
        </w:rPr>
        <w:t xml:space="preserve"> както ниските стойности на съотношенията за ликвидност, защото те предполагат неплатежоспособност и банкрут, така и твърде високата ликвидност – източник на пропуснати доходи и ползи.</w:t>
      </w:r>
    </w:p>
  </w:footnote>
  <w:footnote w:id="106">
    <w:p w:rsidR="003C736D" w:rsidRPr="00AB063B" w:rsidRDefault="003C736D" w:rsidP="00896370">
      <w:pPr>
        <w:pStyle w:val="FootnoteText"/>
        <w:jc w:val="both"/>
        <w:rPr>
          <w:sz w:val="18"/>
          <w:szCs w:val="18"/>
        </w:rPr>
      </w:pPr>
      <w:r w:rsidRPr="00AB063B">
        <w:rPr>
          <w:rStyle w:val="FootnoteReference"/>
          <w:sz w:val="18"/>
          <w:szCs w:val="18"/>
        </w:rPr>
        <w:footnoteRef/>
      </w:r>
      <w:r w:rsidRPr="00AB063B">
        <w:rPr>
          <w:sz w:val="18"/>
          <w:szCs w:val="18"/>
        </w:rPr>
        <w:t xml:space="preserve"> Характеризира степента, в която ликвидните активи превишават краткосрочните задължения на дружествотото</w:t>
      </w:r>
    </w:p>
  </w:footnote>
  <w:footnote w:id="107">
    <w:p w:rsidR="003C736D" w:rsidRPr="00A54A8D" w:rsidRDefault="003C736D" w:rsidP="00896370">
      <w:pPr>
        <w:pStyle w:val="FootnoteText"/>
        <w:jc w:val="both"/>
        <w:rPr>
          <w:sz w:val="18"/>
          <w:szCs w:val="18"/>
        </w:rPr>
      </w:pPr>
      <w:r w:rsidRPr="00A54A8D">
        <w:rPr>
          <w:rStyle w:val="FootnoteReference"/>
          <w:sz w:val="18"/>
          <w:szCs w:val="18"/>
        </w:rPr>
        <w:footnoteRef/>
      </w:r>
      <w:r w:rsidRPr="00A54A8D">
        <w:rPr>
          <w:sz w:val="18"/>
          <w:szCs w:val="18"/>
        </w:rPr>
        <w:t xml:space="preserve"> Характеризира степента, в която ликвидните активи, намалени със запасите, покриват краткосрочните задължения на дружеството</w:t>
      </w:r>
    </w:p>
  </w:footnote>
  <w:footnote w:id="108">
    <w:p w:rsidR="003C736D" w:rsidRPr="00A54A8D" w:rsidRDefault="003C736D" w:rsidP="00896370">
      <w:pPr>
        <w:pStyle w:val="FootnoteText"/>
        <w:jc w:val="both"/>
        <w:rPr>
          <w:sz w:val="18"/>
          <w:szCs w:val="18"/>
        </w:rPr>
      </w:pPr>
      <w:r w:rsidRPr="00A54A8D">
        <w:rPr>
          <w:rStyle w:val="FootnoteReference"/>
          <w:sz w:val="18"/>
          <w:szCs w:val="18"/>
        </w:rPr>
        <w:footnoteRef/>
      </w:r>
      <w:r w:rsidRPr="00A54A8D">
        <w:rPr>
          <w:sz w:val="18"/>
          <w:szCs w:val="18"/>
        </w:rPr>
        <w:t xml:space="preserve"> Характеризира способността на дружеството с краткосрочните си финансови активи и парични средства да покрие незабавно своите краткосрочни задължения</w:t>
      </w:r>
    </w:p>
  </w:footnote>
  <w:footnote w:id="109">
    <w:p w:rsidR="003C736D" w:rsidRPr="00A54A8D" w:rsidRDefault="003C736D" w:rsidP="00896370">
      <w:pPr>
        <w:pStyle w:val="FootnoteText"/>
        <w:jc w:val="both"/>
        <w:rPr>
          <w:sz w:val="18"/>
          <w:szCs w:val="18"/>
        </w:rPr>
      </w:pPr>
      <w:r w:rsidRPr="00A54A8D">
        <w:rPr>
          <w:rStyle w:val="FootnoteReference"/>
          <w:sz w:val="18"/>
          <w:szCs w:val="18"/>
        </w:rPr>
        <w:footnoteRef/>
      </w:r>
      <w:r w:rsidRPr="00A54A8D">
        <w:rPr>
          <w:sz w:val="18"/>
          <w:szCs w:val="18"/>
        </w:rPr>
        <w:t xml:space="preserve"> Характеризира степента, в която най-ликвидните активи на дружеството покриват краткосрочните задължения</w:t>
      </w:r>
    </w:p>
  </w:footnote>
  <w:footnote w:id="110">
    <w:p w:rsidR="003C736D" w:rsidRPr="00A54A8D" w:rsidRDefault="003C736D" w:rsidP="00896370">
      <w:pPr>
        <w:pStyle w:val="FootnoteText"/>
        <w:jc w:val="both"/>
        <w:rPr>
          <w:sz w:val="18"/>
          <w:szCs w:val="18"/>
        </w:rPr>
      </w:pPr>
      <w:r w:rsidRPr="00A54A8D">
        <w:rPr>
          <w:rStyle w:val="FootnoteReference"/>
          <w:sz w:val="18"/>
          <w:szCs w:val="18"/>
        </w:rPr>
        <w:footnoteRef/>
      </w:r>
      <w:r w:rsidRPr="00A54A8D">
        <w:rPr>
          <w:sz w:val="18"/>
          <w:szCs w:val="18"/>
        </w:rPr>
        <w:t xml:space="preserve"> </w:t>
      </w:r>
      <w:r w:rsidRPr="00A54A8D">
        <w:rPr>
          <w:rFonts w:eastAsia="Calibri"/>
          <w:iCs/>
          <w:sz w:val="18"/>
          <w:szCs w:val="18"/>
          <w:lang w:eastAsia="en-US"/>
        </w:rPr>
        <w:t xml:space="preserve">Способността на едно дружество да погасява задълженията си, да разширява обема си и да се възползва от възникналите възможности, често пъти се определя от неговия оборотен капитал. Ежегодното нарастване на оборотния капитал е положителен знак за развитието и стабилността на дружеството.                                                                                               </w:t>
      </w:r>
    </w:p>
  </w:footnote>
  <w:footnote w:id="111">
    <w:p w:rsidR="003C736D" w:rsidRDefault="003C736D" w:rsidP="0059522B">
      <w:pPr>
        <w:jc w:val="both"/>
      </w:pPr>
      <w:r w:rsidRPr="00A54A8D">
        <w:rPr>
          <w:rStyle w:val="FootnoteReference"/>
          <w:sz w:val="18"/>
          <w:szCs w:val="18"/>
        </w:rPr>
        <w:footnoteRef/>
      </w:r>
      <w:r w:rsidRPr="00A54A8D">
        <w:rPr>
          <w:sz w:val="18"/>
          <w:szCs w:val="18"/>
        </w:rPr>
        <w:t xml:space="preserve"> Нормативно коефициентът на финансова автономност следва да бъде със стойност не по-малка от </w:t>
      </w:r>
      <w:r w:rsidRPr="00A54A8D">
        <w:rPr>
          <w:bCs/>
          <w:sz w:val="18"/>
          <w:szCs w:val="18"/>
        </w:rPr>
        <w:t>0,5.</w:t>
      </w:r>
      <w:r w:rsidRPr="00A54A8D">
        <w:rPr>
          <w:bCs/>
          <w:sz w:val="18"/>
          <w:szCs w:val="18"/>
          <w:lang w:val="en-US"/>
        </w:rPr>
        <w:t xml:space="preserve"> </w:t>
      </w:r>
      <w:r w:rsidRPr="00A54A8D">
        <w:rPr>
          <w:bCs/>
          <w:sz w:val="18"/>
          <w:szCs w:val="18"/>
        </w:rPr>
        <w:t xml:space="preserve">Добре би било </w:t>
      </w:r>
      <w:r w:rsidRPr="00A54A8D">
        <w:rPr>
          <w:rFonts w:eastAsia="Calibri"/>
          <w:sz w:val="18"/>
          <w:szCs w:val="18"/>
          <w:lang w:eastAsia="en-US"/>
        </w:rPr>
        <w:t>коефициентът да е ≥ 1. Равнището на финансовия риск е толкова по-голямо, колкото коефициентът на финансов риск е по-малък от 1.</w:t>
      </w:r>
    </w:p>
  </w:footnote>
  <w:footnote w:id="112">
    <w:p w:rsidR="003C736D" w:rsidRPr="0003571A" w:rsidRDefault="003C736D" w:rsidP="0003571A">
      <w:pPr>
        <w:rPr>
          <w:sz w:val="18"/>
          <w:szCs w:val="18"/>
          <w:lang w:val="en-US"/>
        </w:rPr>
      </w:pPr>
      <w:r w:rsidRPr="0003571A">
        <w:rPr>
          <w:rStyle w:val="FootnoteReference"/>
          <w:sz w:val="18"/>
          <w:szCs w:val="18"/>
        </w:rPr>
        <w:footnoteRef/>
      </w:r>
      <w:r w:rsidRPr="0003571A">
        <w:rPr>
          <w:sz w:val="18"/>
          <w:szCs w:val="18"/>
        </w:rPr>
        <w:t xml:space="preserve"> Стойността н</w:t>
      </w:r>
      <w:r w:rsidRPr="0003571A">
        <w:rPr>
          <w:rFonts w:eastAsia="Calibri"/>
          <w:sz w:val="18"/>
          <w:szCs w:val="18"/>
          <w:lang w:eastAsia="en-US"/>
        </w:rPr>
        <w:t>а коефициента за собственост е добре да бъде &gt; 0,5. Нормалното функциониране на дружеството се осигурява, ако собственият му капитал превишава половината от активите му.</w:t>
      </w:r>
    </w:p>
    <w:p w:rsidR="003C736D" w:rsidRPr="005D13CE" w:rsidRDefault="003C736D" w:rsidP="0003571A">
      <w:pPr>
        <w:rPr>
          <w:rFonts w:eastAsia="Calibri"/>
          <w:i/>
          <w:sz w:val="18"/>
          <w:szCs w:val="18"/>
          <w:lang w:val="en-US" w:eastAsia="en-US"/>
        </w:rPr>
      </w:pPr>
    </w:p>
    <w:p w:rsidR="003C736D" w:rsidRPr="005D13CE" w:rsidRDefault="003C736D" w:rsidP="0003571A">
      <w:pPr>
        <w:rPr>
          <w:rFonts w:eastAsia="Calibri"/>
          <w:i/>
          <w:sz w:val="18"/>
          <w:szCs w:val="18"/>
          <w:lang w:val="en-US" w:eastAsia="en-US"/>
        </w:rPr>
      </w:pPr>
    </w:p>
    <w:p w:rsidR="003C736D" w:rsidRDefault="003C736D">
      <w:pPr>
        <w:pStyle w:val="FootnoteText"/>
      </w:pPr>
    </w:p>
  </w:footnote>
  <w:footnote w:id="113">
    <w:p w:rsidR="003C736D" w:rsidRPr="003E7EB1" w:rsidRDefault="003C736D" w:rsidP="002A5951">
      <w:pPr>
        <w:jc w:val="both"/>
        <w:rPr>
          <w:sz w:val="20"/>
          <w:szCs w:val="20"/>
        </w:rPr>
      </w:pPr>
      <w:r w:rsidRPr="003E7EB1">
        <w:rPr>
          <w:rStyle w:val="FootnoteReference"/>
          <w:sz w:val="20"/>
          <w:szCs w:val="20"/>
        </w:rPr>
        <w:footnoteRef/>
      </w:r>
      <w:r w:rsidRPr="003E7EB1">
        <w:rPr>
          <w:sz w:val="20"/>
          <w:szCs w:val="20"/>
        </w:rPr>
        <w:t xml:space="preserve"> Одитно доказателство № 46</w:t>
      </w:r>
    </w:p>
  </w:footnote>
  <w:footnote w:id="114">
    <w:p w:rsidR="003C736D" w:rsidRDefault="003C736D">
      <w:pPr>
        <w:pStyle w:val="FootnoteText"/>
      </w:pPr>
      <w:r>
        <w:rPr>
          <w:rStyle w:val="FootnoteReference"/>
        </w:rPr>
        <w:footnoteRef/>
      </w:r>
      <w:r>
        <w:t xml:space="preserve"> Приложение № 1</w:t>
      </w:r>
    </w:p>
  </w:footnote>
  <w:footnote w:id="115">
    <w:p w:rsidR="003C736D" w:rsidRDefault="003C736D">
      <w:pPr>
        <w:pStyle w:val="FootnoteText"/>
      </w:pPr>
      <w:r>
        <w:rPr>
          <w:rStyle w:val="FootnoteReference"/>
        </w:rPr>
        <w:footnoteRef/>
      </w:r>
      <w:r>
        <w:t xml:space="preserve"> </w:t>
      </w:r>
      <w:r>
        <w:rPr>
          <w:bCs/>
        </w:rPr>
        <w:t>У</w:t>
      </w:r>
      <w:r w:rsidRPr="0058251D">
        <w:rPr>
          <w:bCs/>
        </w:rPr>
        <w:t>твърдена от изпълнителния директор със Заповед № 13-002052-1/ 19.08.2013 г., в сила от 20.08.2013 г.</w:t>
      </w:r>
    </w:p>
  </w:footnote>
  <w:footnote w:id="116">
    <w:p w:rsidR="003C736D" w:rsidRDefault="003C736D">
      <w:pPr>
        <w:pStyle w:val="FootnoteText"/>
      </w:pPr>
      <w:r>
        <w:rPr>
          <w:rStyle w:val="FootnoteReference"/>
        </w:rPr>
        <w:footnoteRef/>
      </w:r>
      <w:r>
        <w:t xml:space="preserve"> </w:t>
      </w:r>
      <w:r>
        <w:rPr>
          <w:bCs/>
        </w:rPr>
        <w:t>У</w:t>
      </w:r>
      <w:r w:rsidRPr="0058251D">
        <w:rPr>
          <w:bCs/>
        </w:rPr>
        <w:t>твърден</w:t>
      </w:r>
      <w:r>
        <w:rPr>
          <w:bCs/>
        </w:rPr>
        <w:t>и</w:t>
      </w:r>
      <w:r w:rsidRPr="0058251D">
        <w:rPr>
          <w:bCs/>
        </w:rPr>
        <w:t xml:space="preserve"> от изпълнителния директор със Заповед № 13-002053-1/ 19.08.2013 г., в сила от 20.08.2013 г.</w:t>
      </w:r>
    </w:p>
  </w:footnote>
  <w:footnote w:id="117">
    <w:p w:rsidR="003C736D" w:rsidRPr="003E7EB1" w:rsidRDefault="003C736D" w:rsidP="0003571A">
      <w:pPr>
        <w:pStyle w:val="FootnoteText"/>
      </w:pPr>
      <w:r w:rsidRPr="003E7EB1">
        <w:rPr>
          <w:rStyle w:val="FootnoteReference"/>
        </w:rPr>
        <w:footnoteRef/>
      </w:r>
      <w:r w:rsidRPr="003E7EB1">
        <w:t xml:space="preserve"> Одитн</w:t>
      </w:r>
      <w:r>
        <w:t>и</w:t>
      </w:r>
      <w:r w:rsidRPr="003E7EB1">
        <w:t xml:space="preserve"> доказателств</w:t>
      </w:r>
      <w:r>
        <w:t>а</w:t>
      </w:r>
      <w:r w:rsidRPr="003E7EB1">
        <w:t xml:space="preserve"> №</w:t>
      </w:r>
      <w:r>
        <w:t>№ 48, 49 и</w:t>
      </w:r>
      <w:r w:rsidRPr="003E7EB1">
        <w:t xml:space="preserve"> 50 </w:t>
      </w:r>
    </w:p>
  </w:footnote>
  <w:footnote w:id="118">
    <w:p w:rsidR="003C736D" w:rsidRPr="003E7EB1" w:rsidRDefault="003C736D" w:rsidP="005D13CE">
      <w:pPr>
        <w:pStyle w:val="FootnoteText"/>
      </w:pPr>
      <w:r w:rsidRPr="003E7EB1">
        <w:rPr>
          <w:rStyle w:val="FootnoteReference"/>
        </w:rPr>
        <w:footnoteRef/>
      </w:r>
      <w:r w:rsidRPr="003E7EB1">
        <w:t xml:space="preserve"> Одитно доказателство № 47</w:t>
      </w:r>
    </w:p>
  </w:footnote>
  <w:footnote w:id="119">
    <w:p w:rsidR="003C736D" w:rsidRPr="003E7EB1" w:rsidRDefault="003C736D" w:rsidP="005D13CE">
      <w:pPr>
        <w:pStyle w:val="FootnoteText"/>
      </w:pPr>
      <w:r w:rsidRPr="003E7EB1">
        <w:rPr>
          <w:rStyle w:val="FootnoteReference"/>
        </w:rPr>
        <w:footnoteRef/>
      </w:r>
      <w:r w:rsidRPr="003E7EB1">
        <w:t xml:space="preserve"> Одитни доказателства № 49</w:t>
      </w:r>
      <w:r w:rsidRPr="003E7EB1">
        <w:rPr>
          <w:bCs/>
        </w:rPr>
        <w:t xml:space="preserve"> и </w:t>
      </w:r>
      <w:r w:rsidRPr="003E7EB1">
        <w:t>№</w:t>
      </w:r>
      <w:r>
        <w:t xml:space="preserve"> </w:t>
      </w:r>
      <w:r w:rsidRPr="003E7EB1">
        <w:t>51</w:t>
      </w:r>
    </w:p>
  </w:footnote>
  <w:footnote w:id="120">
    <w:p w:rsidR="003C736D" w:rsidRPr="003E7EB1" w:rsidRDefault="003C736D" w:rsidP="005D13CE">
      <w:pPr>
        <w:pStyle w:val="FootnoteText"/>
      </w:pPr>
      <w:r w:rsidRPr="003E7EB1">
        <w:rPr>
          <w:rStyle w:val="FootnoteReference"/>
        </w:rPr>
        <w:footnoteRef/>
      </w:r>
      <w:r w:rsidRPr="003E7EB1">
        <w:t xml:space="preserve"> Одитно доказателство № 99</w:t>
      </w:r>
    </w:p>
  </w:footnote>
  <w:footnote w:id="121">
    <w:p w:rsidR="003C736D" w:rsidRPr="003E7EB1" w:rsidRDefault="003C736D" w:rsidP="005D13CE">
      <w:pPr>
        <w:pStyle w:val="FootnoteText"/>
      </w:pPr>
      <w:r w:rsidRPr="003E7EB1">
        <w:rPr>
          <w:rStyle w:val="FootnoteReference"/>
        </w:rPr>
        <w:footnoteRef/>
      </w:r>
      <w:r w:rsidRPr="003E7EB1">
        <w:t xml:space="preserve"> Одитни доказателства № 49</w:t>
      </w:r>
      <w:r w:rsidRPr="003E7EB1">
        <w:rPr>
          <w:bCs/>
        </w:rPr>
        <w:t xml:space="preserve"> и </w:t>
      </w:r>
      <w:r w:rsidRPr="003E7EB1">
        <w:t>№</w:t>
      </w:r>
      <w:r>
        <w:t xml:space="preserve"> </w:t>
      </w:r>
      <w:r w:rsidRPr="003E7EB1">
        <w:t>51</w:t>
      </w:r>
    </w:p>
  </w:footnote>
  <w:footnote w:id="122">
    <w:p w:rsidR="003C736D" w:rsidRPr="003E7EB1" w:rsidRDefault="003C736D" w:rsidP="005D13CE">
      <w:pPr>
        <w:pStyle w:val="FootnoteText"/>
      </w:pPr>
      <w:r w:rsidRPr="003E7EB1">
        <w:rPr>
          <w:rStyle w:val="FootnoteReference"/>
        </w:rPr>
        <w:footnoteRef/>
      </w:r>
      <w:r w:rsidRPr="003E7EB1">
        <w:t xml:space="preserve"> Одитно доказателство № 49</w:t>
      </w:r>
    </w:p>
  </w:footnote>
  <w:footnote w:id="123">
    <w:p w:rsidR="003C736D" w:rsidRPr="003E7EB1" w:rsidRDefault="003C736D" w:rsidP="005D13CE">
      <w:pPr>
        <w:pStyle w:val="FootnoteText"/>
      </w:pPr>
      <w:r w:rsidRPr="003E7EB1">
        <w:rPr>
          <w:rStyle w:val="FootnoteReference"/>
        </w:rPr>
        <w:footnoteRef/>
      </w:r>
      <w:r w:rsidRPr="003E7EB1">
        <w:t xml:space="preserve"> Одитно доказателство № 10</w:t>
      </w:r>
      <w:r>
        <w:t>1; С Решение на СД - Протокол 241/ 29.01.2015 г.</w:t>
      </w:r>
    </w:p>
  </w:footnote>
  <w:footnote w:id="124">
    <w:p w:rsidR="003C736D" w:rsidRPr="003E7EB1" w:rsidRDefault="003C736D" w:rsidP="005D13CE">
      <w:pPr>
        <w:pStyle w:val="FootnoteText"/>
      </w:pPr>
      <w:r w:rsidRPr="003E7EB1">
        <w:rPr>
          <w:rStyle w:val="FootnoteReference"/>
        </w:rPr>
        <w:footnoteRef/>
      </w:r>
      <w:r w:rsidRPr="003E7EB1">
        <w:t xml:space="preserve"> Одитни доказателства № 48 и №</w:t>
      </w:r>
      <w:r>
        <w:t xml:space="preserve"> </w:t>
      </w:r>
      <w:r w:rsidRPr="003E7EB1">
        <w:t>49</w:t>
      </w:r>
    </w:p>
  </w:footnote>
  <w:footnote w:id="125">
    <w:p w:rsidR="003C736D" w:rsidRPr="00390984" w:rsidRDefault="003C736D" w:rsidP="005D13CE">
      <w:pPr>
        <w:pStyle w:val="FootnoteText"/>
      </w:pPr>
      <w:r w:rsidRPr="00390984">
        <w:rPr>
          <w:rStyle w:val="FootnoteReference"/>
        </w:rPr>
        <w:footnoteRef/>
      </w:r>
      <w:r w:rsidRPr="00390984">
        <w:t xml:space="preserve"> </w:t>
      </w:r>
      <w:r>
        <w:t>п</w:t>
      </w:r>
      <w:r w:rsidRPr="00390984">
        <w:t xml:space="preserve">ри търг за наем на недвижими имоти с балансова стойност, която надхвърля 5 на сто от общата балансова стойност на ДМА към 31 декември на предходната година </w:t>
      </w:r>
      <w:r w:rsidRPr="00390984">
        <w:rPr>
          <w:lang w:val="en-US"/>
        </w:rPr>
        <w:t>(</w:t>
      </w:r>
      <w:r w:rsidRPr="00390984">
        <w:t xml:space="preserve">чл. 12, т. 12 от </w:t>
      </w:r>
      <w:r w:rsidRPr="00390984">
        <w:rPr>
          <w:rStyle w:val="Strong"/>
          <w:b w:val="0"/>
        </w:rPr>
        <w:t>ПРУПДТДДУК</w:t>
      </w:r>
      <w:r w:rsidRPr="00390984">
        <w:rPr>
          <w:lang w:val="en-US"/>
        </w:rPr>
        <w:t>)</w:t>
      </w:r>
      <w:r w:rsidRPr="00390984">
        <w:t xml:space="preserve">; При търг за наем на ДМА за срок повече от три години, считано от датата на влизане в сила на договора за наем, и независимо от балансовата стойност на ДМА, се открива с Решение на упражняващия правата на едноличен собственик на капитала в </w:t>
      </w:r>
      <w:r>
        <w:t>„</w:t>
      </w:r>
      <w:r w:rsidRPr="00390984">
        <w:t>НСБ</w:t>
      </w:r>
      <w:r>
        <w:t>“</w:t>
      </w:r>
      <w:r w:rsidRPr="00390984">
        <w:t xml:space="preserve"> ЕАД </w:t>
      </w:r>
      <w:r w:rsidRPr="00390984">
        <w:rPr>
          <w:lang w:val="en-US"/>
        </w:rPr>
        <w:t>(</w:t>
      </w:r>
      <w:r w:rsidRPr="00390984">
        <w:t>чл. 13 от Правилника, чл. 11 от Системата</w:t>
      </w:r>
      <w:r w:rsidRPr="00390984">
        <w:rPr>
          <w:lang w:val="en-US"/>
        </w:rPr>
        <w:t>)</w:t>
      </w:r>
    </w:p>
  </w:footnote>
  <w:footnote w:id="126">
    <w:p w:rsidR="003C736D" w:rsidRPr="003E7EB1" w:rsidRDefault="003C736D" w:rsidP="005D13CE">
      <w:pPr>
        <w:pStyle w:val="FootnoteText"/>
      </w:pPr>
      <w:r w:rsidRPr="003E7EB1">
        <w:rPr>
          <w:rStyle w:val="FootnoteReference"/>
        </w:rPr>
        <w:footnoteRef/>
      </w:r>
      <w:r w:rsidRPr="003E7EB1">
        <w:t xml:space="preserve"> Одитни доказателства №№ 52, 53, 54, 55, 56, 57, 58,</w:t>
      </w:r>
      <w:r>
        <w:t xml:space="preserve"> 59, 60, 61, 62, 63, 64, 65, 66 и</w:t>
      </w:r>
      <w:r w:rsidRPr="003E7EB1">
        <w:t xml:space="preserve"> 67</w:t>
      </w:r>
    </w:p>
  </w:footnote>
  <w:footnote w:id="127">
    <w:p w:rsidR="003C736D" w:rsidRPr="003E7EB1" w:rsidRDefault="003C736D" w:rsidP="005D13CE">
      <w:pPr>
        <w:pStyle w:val="FootnoteText"/>
      </w:pPr>
      <w:r w:rsidRPr="003E7EB1">
        <w:rPr>
          <w:rStyle w:val="FootnoteReference"/>
        </w:rPr>
        <w:footnoteRef/>
      </w:r>
      <w:r w:rsidRPr="003E7EB1">
        <w:t xml:space="preserve"> Одитни доказателства №№ 68,</w:t>
      </w:r>
      <w:r>
        <w:t xml:space="preserve"> 69, 70, 71, 72, 73, 74, 75, 76 и</w:t>
      </w:r>
      <w:r w:rsidRPr="003E7EB1">
        <w:t xml:space="preserve"> 77</w:t>
      </w:r>
    </w:p>
  </w:footnote>
  <w:footnote w:id="128">
    <w:p w:rsidR="003C736D" w:rsidRPr="0081680A" w:rsidRDefault="003C736D" w:rsidP="005D13CE">
      <w:pPr>
        <w:pStyle w:val="FootnoteText"/>
        <w:rPr>
          <w:spacing w:val="-2"/>
        </w:rPr>
      </w:pPr>
      <w:r w:rsidRPr="00FB55ED">
        <w:rPr>
          <w:rStyle w:val="FootnoteReference"/>
        </w:rPr>
        <w:footnoteRef/>
      </w:r>
      <w:r w:rsidRPr="00FB55ED">
        <w:t xml:space="preserve"> Одитни доказателства №№ </w:t>
      </w:r>
      <w:r w:rsidRPr="0081680A">
        <w:rPr>
          <w:spacing w:val="-2"/>
        </w:rPr>
        <w:t>52, 53, 54, 55, 56, 58, 59, 60, 61, 62, 63, 64, 65, 66, 67, 68, 69, 70, 71, 72, 73, 74 и 75</w:t>
      </w:r>
    </w:p>
  </w:footnote>
  <w:footnote w:id="129">
    <w:p w:rsidR="003C736D" w:rsidRPr="003E7EB1" w:rsidRDefault="003C736D" w:rsidP="005D13CE">
      <w:pPr>
        <w:pStyle w:val="FootnoteText"/>
      </w:pPr>
      <w:r w:rsidRPr="003E7EB1">
        <w:rPr>
          <w:rStyle w:val="FootnoteReference"/>
        </w:rPr>
        <w:footnoteRef/>
      </w:r>
      <w:r w:rsidRPr="003E7EB1">
        <w:t xml:space="preserve"> Одитни доказателства №№ 71, 72 и 73</w:t>
      </w:r>
    </w:p>
  </w:footnote>
  <w:footnote w:id="130">
    <w:p w:rsidR="003C736D" w:rsidRPr="003E7EB1" w:rsidRDefault="003C736D" w:rsidP="005D13CE">
      <w:pPr>
        <w:pStyle w:val="FootnoteText"/>
      </w:pPr>
      <w:r w:rsidRPr="003E7EB1">
        <w:rPr>
          <w:rStyle w:val="FootnoteReference"/>
        </w:rPr>
        <w:footnoteRef/>
      </w:r>
      <w:r w:rsidRPr="003E7EB1">
        <w:t xml:space="preserve"> Одитни доказателства №№ 52,</w:t>
      </w:r>
      <w:r>
        <w:t xml:space="preserve"> 54, 58, 59, 60, 61, 62, 63, 67</w:t>
      </w:r>
      <w:r>
        <w:rPr>
          <w:lang w:val="en-US"/>
        </w:rPr>
        <w:t xml:space="preserve"> </w:t>
      </w:r>
      <w:r>
        <w:t>и</w:t>
      </w:r>
      <w:r w:rsidRPr="003E7EB1">
        <w:t xml:space="preserve"> 78</w:t>
      </w:r>
    </w:p>
  </w:footnote>
  <w:footnote w:id="131">
    <w:p w:rsidR="003C736D" w:rsidRPr="003E7EB1" w:rsidRDefault="003C736D" w:rsidP="005D13CE">
      <w:pPr>
        <w:pStyle w:val="FootnoteText"/>
      </w:pPr>
      <w:r w:rsidRPr="003E7EB1">
        <w:rPr>
          <w:rStyle w:val="FootnoteReference"/>
        </w:rPr>
        <w:footnoteRef/>
      </w:r>
      <w:r w:rsidRPr="003E7EB1">
        <w:t xml:space="preserve"> </w:t>
      </w:r>
      <w:r>
        <w:t>ч</w:t>
      </w:r>
      <w:r w:rsidRPr="003E7EB1">
        <w:t>л.</w:t>
      </w:r>
      <w:r>
        <w:t xml:space="preserve"> </w:t>
      </w:r>
      <w:r w:rsidRPr="003E7EB1">
        <w:t>17, ал.</w:t>
      </w:r>
      <w:r>
        <w:t xml:space="preserve"> </w:t>
      </w:r>
      <w:r w:rsidRPr="003E7EB1">
        <w:t xml:space="preserve"> 2 и ал. </w:t>
      </w:r>
      <w:r>
        <w:t xml:space="preserve"> </w:t>
      </w:r>
      <w:r w:rsidRPr="003E7EB1">
        <w:t>3 от ПРУПДТДДУК</w:t>
      </w:r>
    </w:p>
  </w:footnote>
  <w:footnote w:id="132">
    <w:p w:rsidR="003C736D" w:rsidRPr="003E7EB1" w:rsidRDefault="003C736D" w:rsidP="005D13CE">
      <w:pPr>
        <w:pStyle w:val="FootnoteText"/>
      </w:pPr>
      <w:r w:rsidRPr="003E7EB1">
        <w:rPr>
          <w:rStyle w:val="FootnoteReference"/>
        </w:rPr>
        <w:footnoteRef/>
      </w:r>
      <w:r w:rsidRPr="003E7EB1">
        <w:t xml:space="preserve"> Одитни доказателства № 48 и №</w:t>
      </w:r>
      <w:r>
        <w:t xml:space="preserve"> </w:t>
      </w:r>
      <w:r w:rsidRPr="003E7EB1">
        <w:t>49</w:t>
      </w:r>
    </w:p>
  </w:footnote>
  <w:footnote w:id="133">
    <w:p w:rsidR="003C736D" w:rsidRPr="003E7EB1" w:rsidRDefault="003C736D" w:rsidP="005D13CE">
      <w:pPr>
        <w:pStyle w:val="FootnoteText"/>
      </w:pPr>
      <w:r w:rsidRPr="003E7EB1">
        <w:rPr>
          <w:rStyle w:val="FootnoteReference"/>
        </w:rPr>
        <w:footnoteRef/>
      </w:r>
      <w:r w:rsidRPr="003E7EB1">
        <w:t xml:space="preserve"> Одитно доказателство № 79</w:t>
      </w:r>
    </w:p>
  </w:footnote>
  <w:footnote w:id="134">
    <w:p w:rsidR="003C736D" w:rsidRPr="003E7EB1" w:rsidRDefault="003C736D" w:rsidP="005D13CE">
      <w:pPr>
        <w:pStyle w:val="FootnoteText"/>
      </w:pPr>
      <w:r w:rsidRPr="003E7EB1">
        <w:rPr>
          <w:rStyle w:val="FootnoteReference"/>
        </w:rPr>
        <w:footnoteRef/>
      </w:r>
      <w:r w:rsidRPr="003E7EB1">
        <w:t xml:space="preserve"> Одитно доказателство № 80</w:t>
      </w:r>
    </w:p>
  </w:footnote>
  <w:footnote w:id="135">
    <w:p w:rsidR="003C736D" w:rsidRPr="003E7EB1" w:rsidRDefault="003C736D" w:rsidP="005D13CE">
      <w:pPr>
        <w:pStyle w:val="FootnoteText"/>
      </w:pPr>
      <w:r w:rsidRPr="003E7EB1">
        <w:rPr>
          <w:rStyle w:val="FootnoteReference"/>
        </w:rPr>
        <w:footnoteRef/>
      </w:r>
      <w:r w:rsidRPr="003E7EB1">
        <w:t xml:space="preserve"> Одитно доказателство № 81</w:t>
      </w:r>
    </w:p>
  </w:footnote>
  <w:footnote w:id="136">
    <w:p w:rsidR="003C736D" w:rsidRPr="003E7EB1" w:rsidRDefault="003C736D" w:rsidP="005D13CE">
      <w:pPr>
        <w:pStyle w:val="FootnoteText"/>
      </w:pPr>
      <w:r w:rsidRPr="003E7EB1">
        <w:rPr>
          <w:rStyle w:val="FootnoteReference"/>
        </w:rPr>
        <w:footnoteRef/>
      </w:r>
      <w:r w:rsidRPr="003E7EB1">
        <w:t xml:space="preserve"> </w:t>
      </w:r>
      <w:r>
        <w:t>ч</w:t>
      </w:r>
      <w:r w:rsidRPr="003E7EB1">
        <w:t>л.</w:t>
      </w:r>
      <w:r>
        <w:t xml:space="preserve"> 18, ал. 1от </w:t>
      </w:r>
      <w:r w:rsidRPr="003E7EB1">
        <w:t>ПРУПДТДДУК</w:t>
      </w:r>
    </w:p>
  </w:footnote>
  <w:footnote w:id="137">
    <w:p w:rsidR="003C736D" w:rsidRPr="003E7EB1" w:rsidRDefault="003C736D" w:rsidP="005D13CE">
      <w:pPr>
        <w:pStyle w:val="FootnoteText"/>
      </w:pPr>
      <w:r w:rsidRPr="003E7EB1">
        <w:rPr>
          <w:rStyle w:val="FootnoteReference"/>
        </w:rPr>
        <w:footnoteRef/>
      </w:r>
      <w:r w:rsidRPr="003E7EB1">
        <w:t xml:space="preserve"> Одитни доказателства №№ 48, 49 и 50</w:t>
      </w:r>
    </w:p>
  </w:footnote>
  <w:footnote w:id="138">
    <w:p w:rsidR="003C736D" w:rsidRPr="003E7EB1" w:rsidRDefault="003C736D" w:rsidP="005D13CE">
      <w:pPr>
        <w:pStyle w:val="FootnoteText"/>
      </w:pPr>
      <w:r w:rsidRPr="003E7EB1">
        <w:rPr>
          <w:rStyle w:val="FootnoteReference"/>
        </w:rPr>
        <w:footnoteRef/>
      </w:r>
      <w:r w:rsidRPr="003E7EB1">
        <w:t xml:space="preserve"> Одитно доказателство № 82</w:t>
      </w:r>
    </w:p>
  </w:footnote>
  <w:footnote w:id="139">
    <w:p w:rsidR="003C736D" w:rsidRPr="003E7EB1" w:rsidRDefault="003C736D" w:rsidP="005D13CE">
      <w:pPr>
        <w:pStyle w:val="FootnoteText"/>
      </w:pPr>
      <w:r w:rsidRPr="003E7EB1">
        <w:rPr>
          <w:rStyle w:val="FootnoteReference"/>
        </w:rPr>
        <w:footnoteRef/>
      </w:r>
      <w:r w:rsidRPr="003E7EB1">
        <w:t xml:space="preserve"> Одитно доказателство № 83</w:t>
      </w:r>
    </w:p>
  </w:footnote>
  <w:footnote w:id="140">
    <w:p w:rsidR="003C736D" w:rsidRPr="003E7EB1" w:rsidRDefault="003C736D" w:rsidP="005D13CE">
      <w:pPr>
        <w:pStyle w:val="FootnoteText"/>
      </w:pPr>
      <w:r w:rsidRPr="003E7EB1">
        <w:rPr>
          <w:rStyle w:val="FootnoteReference"/>
        </w:rPr>
        <w:footnoteRef/>
      </w:r>
      <w:r w:rsidRPr="003E7EB1">
        <w:t xml:space="preserve"> Одитно доказателство № 84</w:t>
      </w:r>
    </w:p>
  </w:footnote>
  <w:footnote w:id="141">
    <w:p w:rsidR="003C736D" w:rsidRPr="003E7EB1" w:rsidRDefault="003C736D" w:rsidP="005D13CE">
      <w:pPr>
        <w:pStyle w:val="FootnoteText"/>
      </w:pPr>
      <w:r w:rsidRPr="003E7EB1">
        <w:rPr>
          <w:rStyle w:val="FootnoteReference"/>
        </w:rPr>
        <w:footnoteRef/>
      </w:r>
      <w:r w:rsidRPr="003E7EB1">
        <w:t xml:space="preserve"> Одитно доказателство № 85</w:t>
      </w:r>
    </w:p>
  </w:footnote>
  <w:footnote w:id="142">
    <w:p w:rsidR="003C736D" w:rsidRPr="003E7EB1" w:rsidRDefault="003C736D" w:rsidP="005D13CE">
      <w:pPr>
        <w:pStyle w:val="FootnoteText"/>
      </w:pPr>
      <w:r w:rsidRPr="003E7EB1">
        <w:rPr>
          <w:rStyle w:val="FootnoteReference"/>
        </w:rPr>
        <w:footnoteRef/>
      </w:r>
      <w:r w:rsidRPr="003E7EB1">
        <w:t xml:space="preserve"> Одитно доказателство № 86</w:t>
      </w:r>
    </w:p>
  </w:footnote>
  <w:footnote w:id="143">
    <w:p w:rsidR="003C736D" w:rsidRPr="003E7EB1" w:rsidRDefault="003C736D" w:rsidP="005D13CE">
      <w:pPr>
        <w:pStyle w:val="FootnoteText"/>
      </w:pPr>
      <w:r w:rsidRPr="003E7EB1">
        <w:rPr>
          <w:rStyle w:val="FootnoteReference"/>
        </w:rPr>
        <w:footnoteRef/>
      </w:r>
      <w:r w:rsidRPr="003E7EB1">
        <w:t xml:space="preserve"> Одитно доказателство № 87</w:t>
      </w:r>
    </w:p>
  </w:footnote>
  <w:footnote w:id="144">
    <w:p w:rsidR="003C736D" w:rsidRPr="003E7EB1" w:rsidRDefault="003C736D" w:rsidP="005D13CE">
      <w:pPr>
        <w:pStyle w:val="FootnoteText"/>
      </w:pPr>
      <w:r w:rsidRPr="003E7EB1">
        <w:rPr>
          <w:rStyle w:val="FootnoteReference"/>
        </w:rPr>
        <w:footnoteRef/>
      </w:r>
      <w:r w:rsidRPr="003E7EB1">
        <w:t xml:space="preserve"> Одитно доказателство № 88</w:t>
      </w:r>
    </w:p>
  </w:footnote>
  <w:footnote w:id="145">
    <w:p w:rsidR="003C736D" w:rsidRPr="003E7EB1" w:rsidRDefault="003C736D" w:rsidP="005D13CE">
      <w:pPr>
        <w:pStyle w:val="FootnoteText"/>
      </w:pPr>
      <w:r w:rsidRPr="003E7EB1">
        <w:rPr>
          <w:rStyle w:val="FootnoteReference"/>
        </w:rPr>
        <w:footnoteRef/>
      </w:r>
      <w:r w:rsidRPr="003E7EB1">
        <w:t xml:space="preserve"> Одитно доказателство № 89</w:t>
      </w:r>
    </w:p>
  </w:footnote>
  <w:footnote w:id="146">
    <w:p w:rsidR="003C736D" w:rsidRPr="003E7EB1" w:rsidRDefault="003C736D" w:rsidP="005D13CE">
      <w:pPr>
        <w:pStyle w:val="FootnoteText"/>
      </w:pPr>
      <w:r w:rsidRPr="003E7EB1">
        <w:rPr>
          <w:rStyle w:val="FootnoteReference"/>
        </w:rPr>
        <w:footnoteRef/>
      </w:r>
      <w:r w:rsidRPr="003E7EB1">
        <w:t xml:space="preserve"> Одитно доказателство № 90</w:t>
      </w:r>
    </w:p>
  </w:footnote>
  <w:footnote w:id="147">
    <w:p w:rsidR="003C736D" w:rsidRPr="003E7EB1" w:rsidRDefault="003C736D" w:rsidP="005D13CE">
      <w:pPr>
        <w:pStyle w:val="FootnoteText"/>
      </w:pPr>
      <w:r w:rsidRPr="003E7EB1">
        <w:rPr>
          <w:rStyle w:val="FootnoteReference"/>
        </w:rPr>
        <w:footnoteRef/>
      </w:r>
      <w:r w:rsidRPr="003E7EB1">
        <w:t xml:space="preserve"> Одитни доказателства № 51</w:t>
      </w:r>
      <w:r>
        <w:t xml:space="preserve"> и № </w:t>
      </w:r>
      <w:r w:rsidRPr="003E7EB1">
        <w:t xml:space="preserve">97 </w:t>
      </w:r>
    </w:p>
  </w:footnote>
  <w:footnote w:id="148">
    <w:p w:rsidR="003C736D" w:rsidRPr="003E7EB1" w:rsidRDefault="003C736D" w:rsidP="005D13CE">
      <w:pPr>
        <w:pStyle w:val="FootnoteText"/>
      </w:pPr>
      <w:r w:rsidRPr="003E7EB1">
        <w:rPr>
          <w:rStyle w:val="FootnoteReference"/>
        </w:rPr>
        <w:footnoteRef/>
      </w:r>
      <w:r w:rsidRPr="003E7EB1">
        <w:t xml:space="preserve"> Одитно доказателство № 27</w:t>
      </w:r>
    </w:p>
  </w:footnote>
  <w:footnote w:id="149">
    <w:p w:rsidR="003C736D" w:rsidRPr="003E7EB1" w:rsidRDefault="003C736D" w:rsidP="005D13CE">
      <w:pPr>
        <w:pStyle w:val="FootnoteText"/>
      </w:pPr>
      <w:r w:rsidRPr="003E7EB1">
        <w:rPr>
          <w:rStyle w:val="FootnoteReference"/>
        </w:rPr>
        <w:footnoteRef/>
      </w:r>
      <w:r>
        <w:t xml:space="preserve"> Одитно доказателство № </w:t>
      </w:r>
      <w:r w:rsidRPr="003E7EB1">
        <w:t>98</w:t>
      </w:r>
    </w:p>
  </w:footnote>
  <w:footnote w:id="150">
    <w:p w:rsidR="003C736D" w:rsidRPr="003E7EB1" w:rsidRDefault="003C736D" w:rsidP="005D13CE">
      <w:pPr>
        <w:pStyle w:val="FootnoteText"/>
      </w:pPr>
      <w:r w:rsidRPr="003E7EB1">
        <w:rPr>
          <w:rStyle w:val="FootnoteReference"/>
        </w:rPr>
        <w:footnoteRef/>
      </w:r>
      <w:r w:rsidRPr="003E7EB1">
        <w:t xml:space="preserve"> Одитни доказателства №№ 52, 53, 54, 55, 56, 57, 58, 59, 60, 61, 62, 63, 64, 65, 66, 67, 68, 69, 70, 71, 72, 73, 74, 75, 76, 77, 79, 80, 81, 84,</w:t>
      </w:r>
      <w:r>
        <w:t xml:space="preserve"> 85, 86, 89, 90, 91, 92, 93, 94 и</w:t>
      </w:r>
      <w:r w:rsidRPr="003E7EB1">
        <w:t xml:space="preserve"> 95</w:t>
      </w:r>
    </w:p>
  </w:footnote>
  <w:footnote w:id="151">
    <w:p w:rsidR="003C736D" w:rsidRPr="003E7EB1" w:rsidRDefault="003C736D" w:rsidP="005D13CE">
      <w:pPr>
        <w:pStyle w:val="FootnoteText"/>
      </w:pPr>
      <w:r w:rsidRPr="003E7EB1">
        <w:rPr>
          <w:rStyle w:val="FootnoteReference"/>
        </w:rPr>
        <w:footnoteRef/>
      </w:r>
      <w:r w:rsidRPr="003E7EB1">
        <w:t xml:space="preserve"> Одитни доказателства №№ 77, 76, 57, 81, 80, 95</w:t>
      </w:r>
      <w:r>
        <w:t xml:space="preserve"> и</w:t>
      </w:r>
      <w:r w:rsidRPr="003E7EB1">
        <w:t xml:space="preserve"> 96 </w:t>
      </w:r>
    </w:p>
  </w:footnote>
  <w:footnote w:id="152">
    <w:p w:rsidR="003C736D" w:rsidRPr="007F7298" w:rsidRDefault="003C736D" w:rsidP="000C097A">
      <w:pPr>
        <w:pStyle w:val="FootnoteText"/>
        <w:rPr>
          <w:lang w:val="ru-RU"/>
        </w:rPr>
      </w:pPr>
      <w:r w:rsidRPr="005B060C">
        <w:rPr>
          <w:rStyle w:val="FootnoteReference"/>
        </w:rPr>
        <w:footnoteRef/>
      </w:r>
      <w:r>
        <w:t xml:space="preserve"> </w:t>
      </w:r>
      <w:r w:rsidRPr="007F7298">
        <w:t>Одитн</w:t>
      </w:r>
      <w:r>
        <w:t>и</w:t>
      </w:r>
      <w:r w:rsidRPr="007F7298">
        <w:t xml:space="preserve"> доказателств</w:t>
      </w:r>
      <w:r>
        <w:t>а</w:t>
      </w:r>
      <w:r w:rsidRPr="007F7298">
        <w:t xml:space="preserve"> №</w:t>
      </w:r>
      <w:r>
        <w:t xml:space="preserve"> 102 и № 103</w:t>
      </w:r>
      <w:r w:rsidRPr="007F7298">
        <w:t xml:space="preserve"> </w:t>
      </w:r>
    </w:p>
  </w:footnote>
  <w:footnote w:id="153">
    <w:p w:rsidR="003C736D" w:rsidRPr="007F7298" w:rsidRDefault="003C736D" w:rsidP="000C097A">
      <w:pPr>
        <w:pStyle w:val="FootnoteText"/>
      </w:pPr>
      <w:r w:rsidRPr="007F7298">
        <w:rPr>
          <w:rStyle w:val="FootnoteReference"/>
        </w:rPr>
        <w:footnoteRef/>
      </w:r>
      <w:r w:rsidRPr="007F7298">
        <w:t xml:space="preserve"> Одитно доказателство № </w:t>
      </w:r>
      <w:r>
        <w:t xml:space="preserve">103 </w:t>
      </w:r>
    </w:p>
  </w:footnote>
  <w:footnote w:id="154">
    <w:p w:rsidR="003C736D" w:rsidRPr="000417FD" w:rsidRDefault="003C736D" w:rsidP="000C097A">
      <w:pPr>
        <w:pStyle w:val="FootnoteText"/>
      </w:pPr>
      <w:r>
        <w:rPr>
          <w:rStyle w:val="FootnoteReference"/>
        </w:rPr>
        <w:footnoteRef/>
      </w:r>
      <w:r>
        <w:t xml:space="preserve"> </w:t>
      </w:r>
      <w:r w:rsidRPr="000417FD">
        <w:t>Одитно доказателство № 102</w:t>
      </w:r>
    </w:p>
  </w:footnote>
  <w:footnote w:id="155">
    <w:p w:rsidR="003C736D" w:rsidRPr="007F7298" w:rsidRDefault="003C736D" w:rsidP="000C097A">
      <w:pPr>
        <w:pStyle w:val="FootnoteText"/>
      </w:pPr>
      <w:r w:rsidRPr="007F7298">
        <w:rPr>
          <w:rStyle w:val="FootnoteReference"/>
        </w:rPr>
        <w:footnoteRef/>
      </w:r>
      <w:r w:rsidRPr="007F7298">
        <w:t xml:space="preserve"> Одитно доказателство № </w:t>
      </w:r>
      <w:r>
        <w:t xml:space="preserve">104 </w:t>
      </w:r>
    </w:p>
  </w:footnote>
  <w:footnote w:id="156">
    <w:p w:rsidR="003C736D" w:rsidRPr="00A7422B" w:rsidRDefault="003C736D" w:rsidP="000D681E">
      <w:pPr>
        <w:pStyle w:val="FootnoteText"/>
        <w:jc w:val="both"/>
        <w:rPr>
          <w:rStyle w:val="FootnoteReference"/>
        </w:rPr>
      </w:pPr>
      <w:r w:rsidRPr="00D87842">
        <w:rPr>
          <w:rStyle w:val="FootnoteReference"/>
        </w:rPr>
        <w:footnoteRef/>
      </w:r>
      <w:r w:rsidRPr="00D87842">
        <w:t xml:space="preserve"> </w:t>
      </w:r>
      <w:r>
        <w:t>Е</w:t>
      </w:r>
      <w:r w:rsidRPr="00D87842">
        <w:t xml:space="preserve">дна от публичните покани </w:t>
      </w:r>
      <w:r>
        <w:t xml:space="preserve">е </w:t>
      </w:r>
      <w:r w:rsidRPr="00D87842">
        <w:t>за избор на финансова институция</w:t>
      </w:r>
      <w:r>
        <w:t xml:space="preserve">, която се подчинява на специалните правила, на Приложение № 3 </w:t>
      </w:r>
      <w:r w:rsidRPr="00677B0B">
        <w:t xml:space="preserve">от </w:t>
      </w:r>
      <w:r w:rsidRPr="00677B0B">
        <w:rPr>
          <w:rStyle w:val="FootnoteReference"/>
        </w:rPr>
        <w:t xml:space="preserve"> </w:t>
      </w:r>
      <w:r w:rsidRPr="00677B0B">
        <w:t>ПРУПДТДДУК</w:t>
      </w:r>
      <w:r>
        <w:t>,относно концентрацията на паричните средства на дружеството-възложител, съгласно които нетната експозиция на възложителя към една кредитна институция не може да надвишава 25 на сто от общия размер на паричните средства на възложителя. В резултат на процедурата са сключени договори за комплексно банково обслужване с 4 кредитни институции.</w:t>
      </w:r>
    </w:p>
  </w:footnote>
  <w:footnote w:id="157">
    <w:p w:rsidR="003C736D" w:rsidRPr="007F7298" w:rsidRDefault="003C736D" w:rsidP="000D681E">
      <w:pPr>
        <w:pStyle w:val="FootnoteText"/>
        <w:jc w:val="both"/>
      </w:pPr>
      <w:r w:rsidRPr="007F7298">
        <w:rPr>
          <w:rStyle w:val="FootnoteReference"/>
        </w:rPr>
        <w:footnoteRef/>
      </w:r>
      <w:r w:rsidRPr="007F7298">
        <w:t xml:space="preserve"> ДВ, бр. 93 от 2011 г., в сила от 26.02.2012 г.</w:t>
      </w:r>
    </w:p>
  </w:footnote>
  <w:footnote w:id="158">
    <w:p w:rsidR="003C736D" w:rsidRPr="007778EB" w:rsidRDefault="003C736D" w:rsidP="000C097A">
      <w:pPr>
        <w:pStyle w:val="FootnoteText"/>
      </w:pPr>
      <w:r w:rsidRPr="00AB7423">
        <w:rPr>
          <w:rStyle w:val="FootnoteReference"/>
        </w:rPr>
        <w:footnoteRef/>
      </w:r>
      <w:r w:rsidRPr="00AB7423">
        <w:t xml:space="preserve"> Одитно доказателство № </w:t>
      </w:r>
      <w:r>
        <w:t>105</w:t>
      </w:r>
    </w:p>
  </w:footnote>
  <w:footnote w:id="159">
    <w:p w:rsidR="003C736D" w:rsidRPr="004B63DD" w:rsidRDefault="003C736D" w:rsidP="000C097A">
      <w:pPr>
        <w:pStyle w:val="FootnoteText"/>
      </w:pPr>
      <w:r w:rsidRPr="00AB7423">
        <w:rPr>
          <w:rStyle w:val="FootnoteReference"/>
        </w:rPr>
        <w:footnoteRef/>
      </w:r>
      <w:r w:rsidRPr="00AB7423">
        <w:t xml:space="preserve"> Одитно доказателство № </w:t>
      </w:r>
      <w:r>
        <w:t>105</w:t>
      </w:r>
    </w:p>
  </w:footnote>
  <w:footnote w:id="160">
    <w:p w:rsidR="003C736D" w:rsidRPr="004B63DD" w:rsidRDefault="003C736D" w:rsidP="000C097A">
      <w:pPr>
        <w:pStyle w:val="FootnoteText"/>
      </w:pPr>
      <w:r w:rsidRPr="00B32C45">
        <w:rPr>
          <w:rStyle w:val="FootnoteReference"/>
        </w:rPr>
        <w:footnoteRef/>
      </w:r>
      <w:r w:rsidRPr="00B32C45">
        <w:t xml:space="preserve"> Одитно доказателство № </w:t>
      </w:r>
      <w:r>
        <w:t>106</w:t>
      </w:r>
    </w:p>
  </w:footnote>
  <w:footnote w:id="161">
    <w:p w:rsidR="003C736D" w:rsidRPr="007778EB" w:rsidRDefault="003C736D" w:rsidP="000C097A">
      <w:pPr>
        <w:pStyle w:val="FootnoteText"/>
      </w:pPr>
      <w:r w:rsidRPr="00B32C45">
        <w:rPr>
          <w:rStyle w:val="FootnoteReference"/>
        </w:rPr>
        <w:footnoteRef/>
      </w:r>
      <w:r w:rsidRPr="00B32C45">
        <w:t xml:space="preserve"> </w:t>
      </w:r>
      <w:r>
        <w:t>ч</w:t>
      </w:r>
      <w:r w:rsidRPr="00B32C45">
        <w:t>л. 12, ал. 1 от ВПППВОП</w:t>
      </w:r>
      <w:r>
        <w:t xml:space="preserve">, </w:t>
      </w:r>
      <w:r w:rsidRPr="007778EB">
        <w:t>в сила от 01.03.2013 г.</w:t>
      </w:r>
    </w:p>
  </w:footnote>
  <w:footnote w:id="162">
    <w:p w:rsidR="003C736D" w:rsidRPr="007778EB" w:rsidRDefault="003C736D" w:rsidP="000C097A">
      <w:pPr>
        <w:pStyle w:val="FootnoteText"/>
      </w:pPr>
      <w:r w:rsidRPr="004E0F19">
        <w:rPr>
          <w:rStyle w:val="FootnoteReference"/>
        </w:rPr>
        <w:footnoteRef/>
      </w:r>
      <w:r w:rsidRPr="004E0F19">
        <w:t xml:space="preserve"> </w:t>
      </w:r>
      <w:r>
        <w:t>ч</w:t>
      </w:r>
      <w:r w:rsidRPr="009A1D45">
        <w:t>л. 12, ал. ал. 9 и 10 от ВПППВОП</w:t>
      </w:r>
      <w:r>
        <w:t xml:space="preserve">, </w:t>
      </w:r>
      <w:r w:rsidRPr="007778EB">
        <w:t>в сила от 01.03.2013 г.</w:t>
      </w:r>
    </w:p>
  </w:footnote>
  <w:footnote w:id="163">
    <w:p w:rsidR="003C736D" w:rsidRPr="00983503" w:rsidRDefault="003C736D" w:rsidP="000C097A">
      <w:pPr>
        <w:pStyle w:val="FootnoteText"/>
      </w:pPr>
      <w:r w:rsidRPr="009A1D45">
        <w:rPr>
          <w:rStyle w:val="FootnoteReference"/>
        </w:rPr>
        <w:footnoteRef/>
      </w:r>
      <w:r w:rsidRPr="009A1D45">
        <w:t xml:space="preserve"> О</w:t>
      </w:r>
      <w:r>
        <w:t xml:space="preserve">дитно доказателство № 107 </w:t>
      </w:r>
    </w:p>
  </w:footnote>
  <w:footnote w:id="164">
    <w:p w:rsidR="003C736D" w:rsidRPr="009A1D45" w:rsidRDefault="003C736D" w:rsidP="000C097A">
      <w:pPr>
        <w:pStyle w:val="FootnoteText"/>
      </w:pPr>
      <w:r w:rsidRPr="009A1D45">
        <w:rPr>
          <w:rStyle w:val="FootnoteReference"/>
        </w:rPr>
        <w:footnoteRef/>
      </w:r>
      <w:r w:rsidRPr="009A1D45">
        <w:t xml:space="preserve"> Раздели ІІ</w:t>
      </w:r>
      <w:r>
        <w:t>, ІІІ</w:t>
      </w:r>
      <w:r w:rsidRPr="009A1D45">
        <w:t xml:space="preserve"> и ІV от ВППВОП, </w:t>
      </w:r>
      <w:r>
        <w:t>в сила от 02.02.2015 г.</w:t>
      </w:r>
    </w:p>
  </w:footnote>
  <w:footnote w:id="165">
    <w:p w:rsidR="003C736D" w:rsidRPr="008B2AAF" w:rsidRDefault="003C736D" w:rsidP="000C097A">
      <w:pPr>
        <w:pStyle w:val="FootnoteText"/>
      </w:pPr>
      <w:r w:rsidRPr="009A1D45">
        <w:rPr>
          <w:rStyle w:val="FootnoteReference"/>
        </w:rPr>
        <w:footnoteRef/>
      </w:r>
      <w:r w:rsidRPr="009A1D45">
        <w:t xml:space="preserve"> </w:t>
      </w:r>
      <w:r>
        <w:t>ч</w:t>
      </w:r>
      <w:r w:rsidRPr="009A1D45">
        <w:t>л. 12, ал.ал. 11 и 12 от ВПППВОП</w:t>
      </w:r>
      <w:r>
        <w:t xml:space="preserve">, в сила от </w:t>
      </w:r>
      <w:r w:rsidRPr="007778EB">
        <w:t>01.03.2013 г.</w:t>
      </w:r>
    </w:p>
  </w:footnote>
  <w:footnote w:id="166">
    <w:p w:rsidR="003C736D" w:rsidRPr="009A1D45" w:rsidRDefault="003C736D" w:rsidP="000C097A">
      <w:pPr>
        <w:pStyle w:val="FootnoteText"/>
      </w:pPr>
      <w:r w:rsidRPr="009A1D45">
        <w:rPr>
          <w:rStyle w:val="FootnoteReference"/>
        </w:rPr>
        <w:footnoteRef/>
      </w:r>
      <w:r w:rsidRPr="009A1D45">
        <w:t xml:space="preserve"> О</w:t>
      </w:r>
      <w:r>
        <w:t>дитно доказателство</w:t>
      </w:r>
      <w:r w:rsidRPr="009A1D45">
        <w:t xml:space="preserve"> № </w:t>
      </w:r>
      <w:r>
        <w:t>105</w:t>
      </w:r>
    </w:p>
  </w:footnote>
  <w:footnote w:id="167">
    <w:p w:rsidR="003C736D" w:rsidRPr="009A1D45" w:rsidRDefault="003C736D" w:rsidP="000C097A">
      <w:pPr>
        <w:pStyle w:val="FootnoteText"/>
      </w:pPr>
      <w:r w:rsidRPr="009A1D45">
        <w:rPr>
          <w:rStyle w:val="FootnoteReference"/>
        </w:rPr>
        <w:footnoteRef/>
      </w:r>
      <w:r w:rsidRPr="009A1D45">
        <w:t xml:space="preserve"> Одитн</w:t>
      </w:r>
      <w:r>
        <w:t xml:space="preserve">и </w:t>
      </w:r>
      <w:r w:rsidRPr="009A1D45">
        <w:t>доказателств</w:t>
      </w:r>
      <w:r>
        <w:t xml:space="preserve">а </w:t>
      </w:r>
      <w:r w:rsidRPr="009A1D45">
        <w:t xml:space="preserve">№ </w:t>
      </w:r>
      <w:r>
        <w:t xml:space="preserve">33 и № 108 </w:t>
      </w:r>
    </w:p>
  </w:footnote>
  <w:footnote w:id="168">
    <w:p w:rsidR="003C736D" w:rsidRPr="00D25CCD" w:rsidRDefault="003C736D" w:rsidP="000C097A">
      <w:pPr>
        <w:pStyle w:val="FootnoteText"/>
      </w:pPr>
      <w:r>
        <w:rPr>
          <w:rStyle w:val="FootnoteReference"/>
        </w:rPr>
        <w:footnoteRef/>
      </w:r>
      <w:r>
        <w:t xml:space="preserve"> </w:t>
      </w:r>
      <w:r w:rsidRPr="00D25CCD">
        <w:t>Одитно доказателство № 32</w:t>
      </w:r>
      <w:r>
        <w:t xml:space="preserve"> </w:t>
      </w:r>
    </w:p>
  </w:footnote>
  <w:footnote w:id="169">
    <w:p w:rsidR="003C736D" w:rsidRPr="00F76097" w:rsidRDefault="003C736D" w:rsidP="000C097A">
      <w:pPr>
        <w:pStyle w:val="FootnoteText"/>
      </w:pPr>
      <w:r>
        <w:rPr>
          <w:rStyle w:val="FootnoteReference"/>
        </w:rPr>
        <w:footnoteRef/>
      </w:r>
      <w:r>
        <w:t xml:space="preserve"> </w:t>
      </w:r>
      <w:r w:rsidRPr="009A1D45">
        <w:t>Одитн</w:t>
      </w:r>
      <w:r>
        <w:t xml:space="preserve">и </w:t>
      </w:r>
      <w:r w:rsidRPr="009A1D45">
        <w:t>доказателств</w:t>
      </w:r>
      <w:r>
        <w:t xml:space="preserve">а </w:t>
      </w:r>
      <w:r w:rsidRPr="009A1D45">
        <w:t xml:space="preserve">№ </w:t>
      </w:r>
      <w:r>
        <w:t>33 и № 108</w:t>
      </w:r>
    </w:p>
  </w:footnote>
  <w:footnote w:id="170">
    <w:p w:rsidR="003C736D" w:rsidRPr="00F76097" w:rsidRDefault="003C736D" w:rsidP="000C097A">
      <w:pPr>
        <w:pStyle w:val="FootnoteText"/>
      </w:pPr>
      <w:r w:rsidRPr="00F76097">
        <w:rPr>
          <w:rStyle w:val="FootnoteReference"/>
        </w:rPr>
        <w:footnoteRef/>
      </w:r>
      <w:r w:rsidRPr="00F76097">
        <w:t xml:space="preserve"> </w:t>
      </w:r>
      <w:r>
        <w:t>Одитно доказателство</w:t>
      </w:r>
      <w:r w:rsidRPr="00F76097">
        <w:t xml:space="preserve"> № </w:t>
      </w:r>
      <w:r>
        <w:t>109</w:t>
      </w:r>
    </w:p>
  </w:footnote>
  <w:footnote w:id="171">
    <w:p w:rsidR="003C736D" w:rsidRPr="002B13CF" w:rsidRDefault="003C736D" w:rsidP="000C097A">
      <w:pPr>
        <w:pStyle w:val="FootnoteText"/>
      </w:pPr>
      <w:r>
        <w:rPr>
          <w:rStyle w:val="FootnoteReference"/>
        </w:rPr>
        <w:footnoteRef/>
      </w:r>
      <w:r>
        <w:t xml:space="preserve"> </w:t>
      </w:r>
      <w:r w:rsidRPr="002B13CF">
        <w:t>Раздел V-Х от ВПППВОП, в сила от 02.02.2015 г.</w:t>
      </w:r>
    </w:p>
  </w:footnote>
  <w:footnote w:id="172">
    <w:p w:rsidR="003C736D" w:rsidRPr="006C58E7" w:rsidRDefault="003C736D" w:rsidP="000C097A">
      <w:pPr>
        <w:pStyle w:val="FootnoteText"/>
      </w:pPr>
      <w:r w:rsidRPr="00F76097">
        <w:rPr>
          <w:rStyle w:val="FootnoteReference"/>
        </w:rPr>
        <w:footnoteRef/>
      </w:r>
      <w:r w:rsidRPr="00F76097">
        <w:t xml:space="preserve"> О</w:t>
      </w:r>
      <w:r>
        <w:t>дитно доказателство</w:t>
      </w:r>
      <w:r w:rsidRPr="00F76097">
        <w:t xml:space="preserve"> № </w:t>
      </w:r>
      <w:r>
        <w:t xml:space="preserve">110 </w:t>
      </w:r>
    </w:p>
  </w:footnote>
  <w:footnote w:id="173">
    <w:p w:rsidR="003C736D" w:rsidRPr="00F76097" w:rsidRDefault="003C736D" w:rsidP="000C097A">
      <w:pPr>
        <w:pStyle w:val="FootnoteText"/>
      </w:pPr>
      <w:r w:rsidRPr="00F76097">
        <w:rPr>
          <w:rStyle w:val="FootnoteReference"/>
        </w:rPr>
        <w:footnoteRef/>
      </w:r>
      <w:r w:rsidRPr="00F76097">
        <w:t xml:space="preserve"> </w:t>
      </w:r>
      <w:r>
        <w:t>ч</w:t>
      </w:r>
      <w:r w:rsidRPr="00F76097">
        <w:t>л. 35, ал. 1 от Вътрешни</w:t>
      </w:r>
      <w:r>
        <w:t>те</w:t>
      </w:r>
      <w:r w:rsidRPr="00F76097">
        <w:t xml:space="preserve"> правила</w:t>
      </w:r>
      <w:r>
        <w:t>, изграждащи</w:t>
      </w:r>
      <w:r w:rsidRPr="00F76097">
        <w:t xml:space="preserve"> СФУК</w:t>
      </w:r>
      <w:r>
        <w:t xml:space="preserve"> в „НСБ“ ЕАД</w:t>
      </w:r>
    </w:p>
  </w:footnote>
  <w:footnote w:id="174">
    <w:p w:rsidR="003C736D" w:rsidRPr="002B13CF" w:rsidRDefault="003C736D" w:rsidP="000C097A">
      <w:pPr>
        <w:pStyle w:val="FootnoteText"/>
      </w:pPr>
      <w:r>
        <w:rPr>
          <w:rStyle w:val="FootnoteReference"/>
        </w:rPr>
        <w:footnoteRef/>
      </w:r>
      <w:r>
        <w:t xml:space="preserve"> ч</w:t>
      </w:r>
      <w:r w:rsidRPr="00116008">
        <w:t>л. 9</w:t>
      </w:r>
      <w:r>
        <w:t xml:space="preserve"> и чл. 52, ал.1</w:t>
      </w:r>
      <w:r w:rsidRPr="00116008">
        <w:t xml:space="preserve"> от </w:t>
      </w:r>
      <w:r w:rsidRPr="002B13CF">
        <w:t>ВПППВОП в сила от 01.03.2013 г.</w:t>
      </w:r>
    </w:p>
  </w:footnote>
  <w:footnote w:id="175">
    <w:p w:rsidR="003C736D" w:rsidRPr="00F76097" w:rsidRDefault="003C736D" w:rsidP="000C097A">
      <w:pPr>
        <w:pStyle w:val="FootnoteText"/>
      </w:pPr>
      <w:r w:rsidRPr="00F76097">
        <w:rPr>
          <w:rStyle w:val="FootnoteReference"/>
        </w:rPr>
        <w:footnoteRef/>
      </w:r>
      <w:r w:rsidRPr="00F76097">
        <w:t xml:space="preserve"> О</w:t>
      </w:r>
      <w:r>
        <w:t>дитно доказателство</w:t>
      </w:r>
      <w:r w:rsidRPr="00F76097">
        <w:t xml:space="preserve"> № </w:t>
      </w:r>
      <w:r>
        <w:t>111</w:t>
      </w:r>
      <w:r w:rsidRPr="00F76097">
        <w:t xml:space="preserve"> </w:t>
      </w:r>
    </w:p>
  </w:footnote>
  <w:footnote w:id="176">
    <w:p w:rsidR="003C736D" w:rsidRPr="006A2DD7" w:rsidRDefault="003C736D" w:rsidP="000C097A">
      <w:pPr>
        <w:pStyle w:val="FootnoteText"/>
      </w:pPr>
      <w:r>
        <w:rPr>
          <w:rStyle w:val="FootnoteReference"/>
        </w:rPr>
        <w:footnoteRef/>
      </w:r>
      <w:r>
        <w:t xml:space="preserve"> ч</w:t>
      </w:r>
      <w:r w:rsidRPr="006A2DD7">
        <w:t>л. 43, ал. 1 от ВППВОП, в сила от 01.03.2013 г.</w:t>
      </w:r>
    </w:p>
  </w:footnote>
  <w:footnote w:id="177">
    <w:p w:rsidR="003C736D" w:rsidRPr="00F76097" w:rsidRDefault="003C736D" w:rsidP="000C097A">
      <w:pPr>
        <w:pStyle w:val="FootnoteText"/>
      </w:pPr>
      <w:r w:rsidRPr="0025388E">
        <w:rPr>
          <w:rStyle w:val="FootnoteReference"/>
        </w:rPr>
        <w:footnoteRef/>
      </w:r>
      <w:r w:rsidRPr="0025388E">
        <w:t xml:space="preserve"> Одитно доказателство № 41 </w:t>
      </w:r>
    </w:p>
  </w:footnote>
  <w:footnote w:id="178">
    <w:p w:rsidR="003C736D" w:rsidRPr="00161E7C" w:rsidRDefault="003C736D" w:rsidP="000C097A">
      <w:pPr>
        <w:pStyle w:val="FootnoteText"/>
      </w:pPr>
      <w:r>
        <w:rPr>
          <w:rStyle w:val="FootnoteReference"/>
        </w:rPr>
        <w:footnoteRef/>
      </w:r>
      <w:r>
        <w:t xml:space="preserve"> </w:t>
      </w:r>
      <w:r w:rsidRPr="00161E7C">
        <w:t xml:space="preserve">Одитно доказателство № </w:t>
      </w:r>
      <w:r>
        <w:t>108</w:t>
      </w:r>
    </w:p>
  </w:footnote>
  <w:footnote w:id="179">
    <w:p w:rsidR="003C736D" w:rsidRDefault="003C736D" w:rsidP="000C097A">
      <w:pPr>
        <w:pStyle w:val="FootnoteText"/>
      </w:pPr>
      <w:r>
        <w:rPr>
          <w:rStyle w:val="FootnoteReference"/>
        </w:rPr>
        <w:footnoteRef/>
      </w:r>
      <w:r>
        <w:t xml:space="preserve"> Одитни доказателства №№ 113, 115, 118 и 119</w:t>
      </w:r>
    </w:p>
  </w:footnote>
  <w:footnote w:id="180">
    <w:p w:rsidR="003C736D" w:rsidRPr="00161E7C" w:rsidRDefault="003C736D" w:rsidP="000C097A">
      <w:pPr>
        <w:pStyle w:val="FootnoteText"/>
      </w:pPr>
      <w:r>
        <w:rPr>
          <w:rStyle w:val="FootnoteReference"/>
        </w:rPr>
        <w:footnoteRef/>
      </w:r>
      <w:r>
        <w:t xml:space="preserve"> ч</w:t>
      </w:r>
      <w:r w:rsidRPr="00161E7C">
        <w:t>л. 15 от ВППВОП, в сила от 02.02.2015 г.</w:t>
      </w:r>
    </w:p>
  </w:footnote>
  <w:footnote w:id="181">
    <w:p w:rsidR="003C736D" w:rsidRPr="00161E7C" w:rsidRDefault="003C736D" w:rsidP="000C097A">
      <w:pPr>
        <w:pStyle w:val="FootnoteText"/>
      </w:pPr>
      <w:r>
        <w:rPr>
          <w:rStyle w:val="FootnoteReference"/>
        </w:rPr>
        <w:footnoteRef/>
      </w:r>
      <w:r>
        <w:t xml:space="preserve"> ч</w:t>
      </w:r>
      <w:r w:rsidRPr="00161E7C">
        <w:t>л. 1</w:t>
      </w:r>
      <w:r>
        <w:t>2</w:t>
      </w:r>
      <w:r w:rsidRPr="00161E7C">
        <w:t xml:space="preserve"> от ВППВОП, в сила от 02.02.2015 г.</w:t>
      </w:r>
    </w:p>
  </w:footnote>
  <w:footnote w:id="182">
    <w:p w:rsidR="003C736D" w:rsidRPr="004B0F56" w:rsidRDefault="003C736D" w:rsidP="000C097A">
      <w:pPr>
        <w:pStyle w:val="FootnoteText"/>
      </w:pPr>
      <w:r>
        <w:rPr>
          <w:rStyle w:val="FootnoteReference"/>
        </w:rPr>
        <w:footnoteRef/>
      </w:r>
      <w:r>
        <w:t xml:space="preserve"> ч</w:t>
      </w:r>
      <w:r w:rsidRPr="004B0F56">
        <w:t>л. 14</w:t>
      </w:r>
      <w:r>
        <w:t xml:space="preserve"> и чл. 62</w:t>
      </w:r>
      <w:r w:rsidRPr="004B0F56">
        <w:t xml:space="preserve"> от ВППВОП, в сила от 02.02.2015 г.</w:t>
      </w:r>
    </w:p>
  </w:footnote>
  <w:footnote w:id="183">
    <w:p w:rsidR="003C736D" w:rsidRPr="000F50BC" w:rsidRDefault="003C736D" w:rsidP="000C097A">
      <w:pPr>
        <w:pStyle w:val="FootnoteText"/>
      </w:pPr>
      <w:r>
        <w:rPr>
          <w:rStyle w:val="FootnoteReference"/>
        </w:rPr>
        <w:footnoteRef/>
      </w:r>
      <w:r>
        <w:t xml:space="preserve"> Одитно доказателство № 112</w:t>
      </w:r>
      <w:r w:rsidRPr="000F50BC">
        <w:t xml:space="preserve"> </w:t>
      </w:r>
    </w:p>
  </w:footnote>
  <w:footnote w:id="184">
    <w:p w:rsidR="003C736D" w:rsidRPr="0005076F" w:rsidRDefault="003C736D" w:rsidP="000C097A">
      <w:pPr>
        <w:pStyle w:val="FootnoteText"/>
      </w:pPr>
      <w:r>
        <w:rPr>
          <w:rStyle w:val="FootnoteReference"/>
        </w:rPr>
        <w:footnoteRef/>
      </w:r>
      <w:r>
        <w:t xml:space="preserve"> </w:t>
      </w:r>
      <w:r w:rsidRPr="0005076F">
        <w:t xml:space="preserve">Одитно доказателство № </w:t>
      </w:r>
      <w:r>
        <w:t>137</w:t>
      </w:r>
      <w:r w:rsidRPr="0005076F">
        <w:t xml:space="preserve"> </w:t>
      </w:r>
    </w:p>
  </w:footnote>
  <w:footnote w:id="185">
    <w:p w:rsidR="003C736D" w:rsidRPr="0005076F" w:rsidRDefault="003C736D" w:rsidP="000C097A">
      <w:pPr>
        <w:pStyle w:val="FootnoteText"/>
      </w:pPr>
      <w:r>
        <w:rPr>
          <w:rStyle w:val="FootnoteReference"/>
        </w:rPr>
        <w:footnoteRef/>
      </w:r>
      <w:r>
        <w:t xml:space="preserve"> </w:t>
      </w:r>
      <w:r w:rsidRPr="0005076F">
        <w:t xml:space="preserve">Одитно доказателство № </w:t>
      </w:r>
      <w:r>
        <w:t xml:space="preserve">137 </w:t>
      </w:r>
    </w:p>
  </w:footnote>
  <w:footnote w:id="186">
    <w:p w:rsidR="003C736D" w:rsidRPr="000F50BC" w:rsidRDefault="003C736D" w:rsidP="000C097A">
      <w:pPr>
        <w:pStyle w:val="FootnoteText"/>
      </w:pPr>
      <w:r w:rsidRPr="000F50BC">
        <w:rPr>
          <w:rStyle w:val="FootnoteReference"/>
        </w:rPr>
        <w:footnoteRef/>
      </w:r>
      <w:r w:rsidRPr="000F50BC">
        <w:t xml:space="preserve"> О</w:t>
      </w:r>
      <w:r>
        <w:t>дитно доказателство</w:t>
      </w:r>
      <w:r w:rsidRPr="000F50BC">
        <w:t xml:space="preserve"> № </w:t>
      </w:r>
      <w:r>
        <w:t xml:space="preserve">113 </w:t>
      </w:r>
    </w:p>
  </w:footnote>
  <w:footnote w:id="187">
    <w:p w:rsidR="003C736D" w:rsidRPr="000F50BC" w:rsidRDefault="003C736D" w:rsidP="000C097A">
      <w:pPr>
        <w:pStyle w:val="FootnoteText"/>
      </w:pPr>
      <w:r w:rsidRPr="000F50BC">
        <w:rPr>
          <w:rStyle w:val="FootnoteReference"/>
        </w:rPr>
        <w:footnoteRef/>
      </w:r>
      <w:r w:rsidRPr="000F50BC">
        <w:t xml:space="preserve"> О</w:t>
      </w:r>
      <w:r>
        <w:t>дитно доказателство</w:t>
      </w:r>
      <w:r w:rsidRPr="000F50BC">
        <w:t xml:space="preserve"> № </w:t>
      </w:r>
      <w:r>
        <w:t xml:space="preserve">113 </w:t>
      </w:r>
    </w:p>
  </w:footnote>
  <w:footnote w:id="188">
    <w:p w:rsidR="003C736D" w:rsidRPr="000F50BC" w:rsidRDefault="003C736D" w:rsidP="000C097A">
      <w:pPr>
        <w:pStyle w:val="FootnoteText"/>
      </w:pPr>
      <w:r w:rsidRPr="000F50BC">
        <w:rPr>
          <w:rStyle w:val="FootnoteReference"/>
        </w:rPr>
        <w:footnoteRef/>
      </w:r>
      <w:r w:rsidRPr="000F50BC">
        <w:t xml:space="preserve"> О</w:t>
      </w:r>
      <w:r>
        <w:t>дитно доказателство</w:t>
      </w:r>
      <w:r w:rsidRPr="000F50BC">
        <w:t xml:space="preserve"> № </w:t>
      </w:r>
      <w:r>
        <w:t xml:space="preserve">113 </w:t>
      </w:r>
    </w:p>
  </w:footnote>
  <w:footnote w:id="189">
    <w:p w:rsidR="003C736D" w:rsidRPr="005C225D" w:rsidRDefault="003C736D" w:rsidP="000C097A">
      <w:pPr>
        <w:pStyle w:val="FootnoteText"/>
      </w:pPr>
      <w:r>
        <w:rPr>
          <w:rStyle w:val="FootnoteReference"/>
        </w:rPr>
        <w:footnoteRef/>
      </w:r>
      <w:r>
        <w:t xml:space="preserve"> </w:t>
      </w:r>
      <w:r w:rsidRPr="000F50BC">
        <w:t>О</w:t>
      </w:r>
      <w:r>
        <w:t>дитно доказателство</w:t>
      </w:r>
      <w:r w:rsidRPr="000F50BC">
        <w:t xml:space="preserve"> № </w:t>
      </w:r>
      <w:r>
        <w:t xml:space="preserve">113 </w:t>
      </w:r>
    </w:p>
  </w:footnote>
  <w:footnote w:id="190">
    <w:p w:rsidR="003C736D" w:rsidRPr="00F42749" w:rsidRDefault="003C736D" w:rsidP="000C097A">
      <w:pPr>
        <w:pStyle w:val="FootnoteText"/>
      </w:pPr>
      <w:r>
        <w:rPr>
          <w:rStyle w:val="FootnoteReference"/>
        </w:rPr>
        <w:footnoteRef/>
      </w:r>
      <w:r>
        <w:t xml:space="preserve"> </w:t>
      </w:r>
      <w:r w:rsidRPr="000F50BC">
        <w:t>О</w:t>
      </w:r>
      <w:r>
        <w:t>дитно доказателство</w:t>
      </w:r>
      <w:r w:rsidRPr="000F50BC">
        <w:t xml:space="preserve"> № </w:t>
      </w:r>
      <w:r>
        <w:t xml:space="preserve">113 </w:t>
      </w:r>
    </w:p>
  </w:footnote>
  <w:footnote w:id="191">
    <w:p w:rsidR="003C736D" w:rsidRPr="00F42749" w:rsidRDefault="003C736D" w:rsidP="000C097A">
      <w:pPr>
        <w:pStyle w:val="FootnoteText"/>
      </w:pPr>
      <w:r>
        <w:rPr>
          <w:rStyle w:val="FootnoteReference"/>
        </w:rPr>
        <w:footnoteRef/>
      </w:r>
      <w:r>
        <w:t xml:space="preserve"> </w:t>
      </w:r>
      <w:r w:rsidRPr="000F50BC">
        <w:t>О</w:t>
      </w:r>
      <w:r>
        <w:t>дитно доказателство</w:t>
      </w:r>
      <w:r w:rsidRPr="000F50BC">
        <w:t xml:space="preserve"> № </w:t>
      </w:r>
      <w:r>
        <w:t xml:space="preserve">113 </w:t>
      </w:r>
    </w:p>
  </w:footnote>
  <w:footnote w:id="192">
    <w:p w:rsidR="003C736D" w:rsidRPr="006C677F" w:rsidRDefault="003C736D" w:rsidP="000C097A">
      <w:pPr>
        <w:tabs>
          <w:tab w:val="left" w:pos="709"/>
        </w:tabs>
        <w:ind w:left="34" w:hanging="34"/>
        <w:jc w:val="both"/>
        <w:rPr>
          <w:sz w:val="20"/>
          <w:szCs w:val="20"/>
        </w:rPr>
      </w:pPr>
      <w:r w:rsidRPr="00F062BC">
        <w:rPr>
          <w:rStyle w:val="FootnoteReference"/>
          <w:sz w:val="20"/>
          <w:szCs w:val="20"/>
        </w:rPr>
        <w:footnoteRef/>
      </w:r>
      <w:r w:rsidRPr="00F062BC">
        <w:rPr>
          <w:sz w:val="20"/>
          <w:szCs w:val="20"/>
        </w:rPr>
        <w:t xml:space="preserve"> </w:t>
      </w:r>
      <w:r>
        <w:rPr>
          <w:sz w:val="20"/>
          <w:szCs w:val="20"/>
        </w:rPr>
        <w:t>Одитни доказателства № 113 и № 114</w:t>
      </w:r>
    </w:p>
  </w:footnote>
  <w:footnote w:id="193">
    <w:p w:rsidR="003C736D" w:rsidRPr="007965EA" w:rsidRDefault="003C736D" w:rsidP="000C097A">
      <w:pPr>
        <w:pStyle w:val="FootnoteText"/>
      </w:pPr>
      <w:r>
        <w:rPr>
          <w:rStyle w:val="FootnoteReference"/>
        </w:rPr>
        <w:footnoteRef/>
      </w:r>
      <w:r>
        <w:t xml:space="preserve"> </w:t>
      </w:r>
      <w:r w:rsidRPr="000F50BC">
        <w:t>О</w:t>
      </w:r>
      <w:r>
        <w:t>дитно доказателство</w:t>
      </w:r>
      <w:r w:rsidRPr="000F50BC">
        <w:t xml:space="preserve"> № </w:t>
      </w:r>
      <w:r>
        <w:t>113</w:t>
      </w:r>
    </w:p>
  </w:footnote>
  <w:footnote w:id="194">
    <w:p w:rsidR="003C736D" w:rsidRPr="00F42749" w:rsidRDefault="003C736D" w:rsidP="000C097A">
      <w:pPr>
        <w:pStyle w:val="FootnoteText"/>
      </w:pPr>
      <w:r>
        <w:rPr>
          <w:rStyle w:val="FootnoteReference"/>
        </w:rPr>
        <w:footnoteRef/>
      </w:r>
      <w:r>
        <w:t xml:space="preserve"> </w:t>
      </w:r>
      <w:r w:rsidRPr="000F50BC">
        <w:t>О</w:t>
      </w:r>
      <w:r>
        <w:t>дитно доказателство</w:t>
      </w:r>
      <w:r w:rsidRPr="000F50BC">
        <w:t xml:space="preserve"> № </w:t>
      </w:r>
      <w:r>
        <w:t>113</w:t>
      </w:r>
    </w:p>
  </w:footnote>
  <w:footnote w:id="195">
    <w:p w:rsidR="003C736D" w:rsidRPr="001E3834" w:rsidRDefault="003C736D" w:rsidP="000C097A">
      <w:pPr>
        <w:pStyle w:val="FootnoteText"/>
      </w:pPr>
      <w:r>
        <w:rPr>
          <w:rStyle w:val="FootnoteReference"/>
        </w:rPr>
        <w:footnoteRef/>
      </w:r>
      <w:r>
        <w:t xml:space="preserve"> </w:t>
      </w:r>
      <w:r w:rsidRPr="001E3834">
        <w:t>ЗОП, ред. ДВ, бр. 82 от 26.10.2012 г.</w:t>
      </w:r>
    </w:p>
  </w:footnote>
  <w:footnote w:id="196">
    <w:p w:rsidR="003C736D" w:rsidRPr="001E6734" w:rsidRDefault="003C736D" w:rsidP="000C097A">
      <w:pPr>
        <w:pStyle w:val="FootnoteText"/>
      </w:pPr>
      <w:r w:rsidRPr="0075585F">
        <w:rPr>
          <w:rStyle w:val="FootnoteReference"/>
        </w:rPr>
        <w:footnoteRef/>
      </w:r>
      <w:r w:rsidRPr="0075585F">
        <w:t xml:space="preserve"> </w:t>
      </w:r>
      <w:r w:rsidRPr="000F50BC">
        <w:t>О</w:t>
      </w:r>
      <w:r>
        <w:t>дитно доказателство</w:t>
      </w:r>
      <w:r w:rsidRPr="000F50BC">
        <w:t xml:space="preserve"> № </w:t>
      </w:r>
      <w:r>
        <w:t xml:space="preserve">114 </w:t>
      </w:r>
    </w:p>
  </w:footnote>
  <w:footnote w:id="197">
    <w:p w:rsidR="003C736D" w:rsidRPr="00132384" w:rsidRDefault="003C736D" w:rsidP="000C097A">
      <w:pPr>
        <w:pStyle w:val="FootnoteText"/>
      </w:pPr>
      <w:r w:rsidRPr="0075585F">
        <w:rPr>
          <w:rStyle w:val="FootnoteReference"/>
        </w:rPr>
        <w:footnoteRef/>
      </w:r>
      <w:r w:rsidRPr="0075585F">
        <w:t xml:space="preserve"> </w:t>
      </w:r>
      <w:r>
        <w:t xml:space="preserve">Одитно доказателство № 115 </w:t>
      </w:r>
    </w:p>
  </w:footnote>
  <w:footnote w:id="198">
    <w:p w:rsidR="003C736D" w:rsidRPr="00F618C1" w:rsidRDefault="003C736D" w:rsidP="000C097A">
      <w:pPr>
        <w:pStyle w:val="FootnoteText"/>
      </w:pPr>
      <w:r>
        <w:rPr>
          <w:rStyle w:val="FootnoteReference"/>
        </w:rPr>
        <w:footnoteRef/>
      </w:r>
      <w:r>
        <w:t xml:space="preserve"> Одитни доказателства № 115 и № 137</w:t>
      </w:r>
    </w:p>
  </w:footnote>
  <w:footnote w:id="199">
    <w:p w:rsidR="003C736D" w:rsidRPr="0075585F" w:rsidRDefault="003C736D" w:rsidP="000C097A">
      <w:pPr>
        <w:pStyle w:val="FootnoteText"/>
      </w:pPr>
      <w:r w:rsidRPr="0075585F">
        <w:rPr>
          <w:rStyle w:val="FootnoteReference"/>
        </w:rPr>
        <w:footnoteRef/>
      </w:r>
      <w:r w:rsidRPr="0075585F">
        <w:t xml:space="preserve"> </w:t>
      </w:r>
      <w:r>
        <w:t xml:space="preserve">Одитно доказателство № 115 </w:t>
      </w:r>
    </w:p>
  </w:footnote>
  <w:footnote w:id="200">
    <w:p w:rsidR="003C736D" w:rsidRPr="0001718D" w:rsidRDefault="003C736D" w:rsidP="000C097A">
      <w:pPr>
        <w:pStyle w:val="FootnoteText"/>
      </w:pPr>
      <w:r w:rsidRPr="0001718D">
        <w:rPr>
          <w:rStyle w:val="FootnoteReference"/>
        </w:rPr>
        <w:footnoteRef/>
      </w:r>
      <w:r w:rsidRPr="0001718D">
        <w:t xml:space="preserve"> Одитно доказателство № 115</w:t>
      </w:r>
    </w:p>
  </w:footnote>
  <w:footnote w:id="201">
    <w:p w:rsidR="003C736D" w:rsidRPr="0075585F" w:rsidRDefault="003C736D" w:rsidP="000C097A">
      <w:pPr>
        <w:pStyle w:val="FootnoteText"/>
      </w:pPr>
      <w:r w:rsidRPr="0075585F">
        <w:rPr>
          <w:rStyle w:val="FootnoteReference"/>
        </w:rPr>
        <w:footnoteRef/>
      </w:r>
      <w:r w:rsidRPr="0075585F">
        <w:t xml:space="preserve"> </w:t>
      </w:r>
      <w:r>
        <w:t xml:space="preserve">Одитно доказателство № 115 </w:t>
      </w:r>
    </w:p>
  </w:footnote>
  <w:footnote w:id="202">
    <w:p w:rsidR="003C736D" w:rsidRPr="0075585F" w:rsidRDefault="003C736D" w:rsidP="000C097A">
      <w:pPr>
        <w:pStyle w:val="FootnoteText"/>
      </w:pPr>
      <w:r w:rsidRPr="0075585F">
        <w:rPr>
          <w:rStyle w:val="FootnoteReference"/>
        </w:rPr>
        <w:footnoteRef/>
      </w:r>
      <w:r w:rsidRPr="0075585F">
        <w:t xml:space="preserve"> </w:t>
      </w:r>
      <w:r>
        <w:t xml:space="preserve">Одитно доказателство № 115 </w:t>
      </w:r>
    </w:p>
  </w:footnote>
  <w:footnote w:id="203">
    <w:p w:rsidR="003C736D" w:rsidRPr="0075585F" w:rsidRDefault="003C736D" w:rsidP="000C097A">
      <w:pPr>
        <w:pStyle w:val="FootnoteText"/>
      </w:pPr>
      <w:r w:rsidRPr="0075585F">
        <w:rPr>
          <w:rStyle w:val="FootnoteReference"/>
        </w:rPr>
        <w:footnoteRef/>
      </w:r>
      <w:r w:rsidRPr="0075585F">
        <w:t xml:space="preserve"> </w:t>
      </w:r>
      <w:r>
        <w:t>Одитни доказателства № 115 и № 137</w:t>
      </w:r>
    </w:p>
  </w:footnote>
  <w:footnote w:id="204">
    <w:p w:rsidR="003C736D" w:rsidRPr="00F024E3" w:rsidRDefault="003C736D" w:rsidP="000C097A">
      <w:pPr>
        <w:pStyle w:val="FootnoteText"/>
      </w:pPr>
      <w:r w:rsidRPr="0055664F">
        <w:rPr>
          <w:rStyle w:val="FootnoteReference"/>
        </w:rPr>
        <w:footnoteRef/>
      </w:r>
      <w:r w:rsidRPr="0055664F">
        <w:t xml:space="preserve"> </w:t>
      </w:r>
      <w:r>
        <w:t xml:space="preserve">Одитно доказателство № 116 </w:t>
      </w:r>
    </w:p>
  </w:footnote>
  <w:footnote w:id="205">
    <w:p w:rsidR="003C736D" w:rsidRPr="005E54FE" w:rsidRDefault="003C736D" w:rsidP="000C097A">
      <w:pPr>
        <w:pStyle w:val="FootnoteText"/>
      </w:pPr>
      <w:r>
        <w:rPr>
          <w:rStyle w:val="FootnoteReference"/>
        </w:rPr>
        <w:footnoteRef/>
      </w:r>
      <w:r>
        <w:t xml:space="preserve"> Одитно доказателство № 116 </w:t>
      </w:r>
    </w:p>
  </w:footnote>
  <w:footnote w:id="206">
    <w:p w:rsidR="003C736D" w:rsidRPr="00BF36CA" w:rsidRDefault="003C736D" w:rsidP="000C097A">
      <w:pPr>
        <w:pStyle w:val="FootnoteText"/>
      </w:pPr>
      <w:r>
        <w:rPr>
          <w:rStyle w:val="FootnoteReference"/>
        </w:rPr>
        <w:footnoteRef/>
      </w:r>
      <w:r>
        <w:t xml:space="preserve"> </w:t>
      </w:r>
      <w:r w:rsidRPr="00BF36CA">
        <w:t>Одитно доказателство № 1</w:t>
      </w:r>
      <w:r>
        <w:t>1</w:t>
      </w:r>
      <w:r w:rsidRPr="00BF36CA">
        <w:t xml:space="preserve">7 </w:t>
      </w:r>
    </w:p>
  </w:footnote>
  <w:footnote w:id="207">
    <w:p w:rsidR="003C736D" w:rsidRPr="00C47EA7" w:rsidRDefault="003C736D" w:rsidP="000C097A">
      <w:pPr>
        <w:pStyle w:val="FootnoteText"/>
      </w:pPr>
      <w:r>
        <w:rPr>
          <w:rStyle w:val="FootnoteReference"/>
        </w:rPr>
        <w:footnoteRef/>
      </w:r>
      <w:r>
        <w:t xml:space="preserve"> </w:t>
      </w:r>
      <w:r w:rsidRPr="00C47EA7">
        <w:t>Од</w:t>
      </w:r>
      <w:r>
        <w:t>и</w:t>
      </w:r>
      <w:r w:rsidRPr="00C47EA7">
        <w:t xml:space="preserve">тно доказателство № </w:t>
      </w:r>
      <w:r>
        <w:t>104</w:t>
      </w:r>
      <w:r w:rsidRPr="00C47EA7">
        <w:t xml:space="preserve"> </w:t>
      </w:r>
    </w:p>
  </w:footnote>
  <w:footnote w:id="208">
    <w:p w:rsidR="003C736D" w:rsidRDefault="003C736D" w:rsidP="000C097A">
      <w:pPr>
        <w:pStyle w:val="FootnoteText"/>
      </w:pPr>
      <w:r>
        <w:rPr>
          <w:rStyle w:val="FootnoteReference"/>
        </w:rPr>
        <w:footnoteRef/>
      </w:r>
      <w:r>
        <w:t xml:space="preserve"> </w:t>
      </w:r>
      <w:r w:rsidRPr="00F13F4F">
        <w:t>ред. ДВ, бр. 82 от 26.10.2012 г.</w:t>
      </w:r>
    </w:p>
  </w:footnote>
  <w:footnote w:id="209">
    <w:p w:rsidR="003C736D" w:rsidRPr="00A1335D" w:rsidRDefault="003C736D" w:rsidP="000C097A">
      <w:pPr>
        <w:pStyle w:val="FootnoteText"/>
      </w:pPr>
      <w:r>
        <w:rPr>
          <w:rStyle w:val="FootnoteReference"/>
        </w:rPr>
        <w:footnoteRef/>
      </w:r>
      <w:r>
        <w:t xml:space="preserve"> </w:t>
      </w:r>
      <w:r w:rsidRPr="00A1335D">
        <w:t>Одитно доказателство № 1</w:t>
      </w:r>
      <w:r>
        <w:t>1</w:t>
      </w:r>
      <w:r w:rsidRPr="00A1335D">
        <w:t xml:space="preserve">8 </w:t>
      </w:r>
    </w:p>
  </w:footnote>
  <w:footnote w:id="210">
    <w:p w:rsidR="003C736D" w:rsidRPr="009B5F3F" w:rsidRDefault="003C736D" w:rsidP="000C097A">
      <w:pPr>
        <w:pStyle w:val="FootnoteText"/>
      </w:pPr>
      <w:r w:rsidRPr="009B5F3F">
        <w:rPr>
          <w:rStyle w:val="FootnoteReference"/>
        </w:rPr>
        <w:footnoteRef/>
      </w:r>
      <w:r w:rsidRPr="009B5F3F">
        <w:t xml:space="preserve"> </w:t>
      </w:r>
      <w:r>
        <w:t xml:space="preserve">Одитно доказателство № 123 </w:t>
      </w:r>
    </w:p>
  </w:footnote>
  <w:footnote w:id="211">
    <w:p w:rsidR="003C736D" w:rsidRDefault="003C736D" w:rsidP="000C097A">
      <w:pPr>
        <w:pStyle w:val="FootnoteText"/>
      </w:pPr>
      <w:r>
        <w:rPr>
          <w:rStyle w:val="FootnoteReference"/>
        </w:rPr>
        <w:footnoteRef/>
      </w:r>
      <w:r>
        <w:t xml:space="preserve"> </w:t>
      </w:r>
      <w:r w:rsidRPr="0016084E">
        <w:t xml:space="preserve">ред. ДВ бр. </w:t>
      </w:r>
      <w:r>
        <w:t>33/2012 г.</w:t>
      </w:r>
    </w:p>
  </w:footnote>
  <w:footnote w:id="212">
    <w:p w:rsidR="003C736D" w:rsidRDefault="003C736D" w:rsidP="000C097A">
      <w:pPr>
        <w:pStyle w:val="FootnoteText"/>
      </w:pPr>
      <w:r>
        <w:rPr>
          <w:rStyle w:val="FootnoteReference"/>
        </w:rPr>
        <w:footnoteRef/>
      </w:r>
      <w:r>
        <w:t xml:space="preserve"> </w:t>
      </w:r>
      <w:r w:rsidRPr="00F13F4F">
        <w:t>ред. изм. и доп., бр. 40 от 13.05.</w:t>
      </w:r>
      <w:r>
        <w:t>2014 г., в сила от 1.07.2014 г.</w:t>
      </w:r>
    </w:p>
  </w:footnote>
  <w:footnote w:id="213">
    <w:p w:rsidR="003C736D" w:rsidRPr="005A0772" w:rsidRDefault="003C736D" w:rsidP="000C097A">
      <w:pPr>
        <w:pStyle w:val="FootnoteText"/>
      </w:pPr>
      <w:r>
        <w:rPr>
          <w:rStyle w:val="FootnoteReference"/>
        </w:rPr>
        <w:footnoteRef/>
      </w:r>
      <w:r>
        <w:t xml:space="preserve"> Одитно доказателство № 119</w:t>
      </w:r>
      <w:r w:rsidRPr="00A1335D">
        <w:t xml:space="preserve"> </w:t>
      </w:r>
    </w:p>
  </w:footnote>
  <w:footnote w:id="214">
    <w:p w:rsidR="003C736D" w:rsidRPr="009B5F3F" w:rsidRDefault="003C736D" w:rsidP="000C097A">
      <w:pPr>
        <w:pStyle w:val="FootnoteText"/>
      </w:pPr>
      <w:r w:rsidRPr="009B5F3F">
        <w:rPr>
          <w:rStyle w:val="FootnoteReference"/>
        </w:rPr>
        <w:footnoteRef/>
      </w:r>
      <w:r w:rsidRPr="009B5F3F">
        <w:t xml:space="preserve"> </w:t>
      </w:r>
      <w:r>
        <w:t>Одитно доказателство № 1</w:t>
      </w:r>
      <w:r w:rsidRPr="00A142A0">
        <w:t>20</w:t>
      </w:r>
      <w:r>
        <w:t xml:space="preserve"> </w:t>
      </w:r>
    </w:p>
  </w:footnote>
  <w:footnote w:id="215">
    <w:p w:rsidR="003C736D" w:rsidRPr="00F23D97" w:rsidRDefault="003C736D" w:rsidP="000C097A">
      <w:pPr>
        <w:pStyle w:val="FootnoteText"/>
      </w:pPr>
      <w:r w:rsidRPr="00F23D97">
        <w:rPr>
          <w:rStyle w:val="FootnoteReference"/>
        </w:rPr>
        <w:footnoteRef/>
      </w:r>
      <w:r w:rsidRPr="00F23D97">
        <w:t xml:space="preserve"> Одитно доказателство № </w:t>
      </w:r>
      <w:r>
        <w:t>121</w:t>
      </w:r>
      <w:r w:rsidRPr="00F23D97">
        <w:t xml:space="preserve"> </w:t>
      </w:r>
    </w:p>
  </w:footnote>
  <w:footnote w:id="216">
    <w:p w:rsidR="003C736D" w:rsidRPr="003635FD" w:rsidRDefault="003C736D" w:rsidP="000C097A">
      <w:pPr>
        <w:pStyle w:val="FootnoteText"/>
      </w:pPr>
      <w:r w:rsidRPr="009B5F3F">
        <w:rPr>
          <w:rStyle w:val="FootnoteReference"/>
        </w:rPr>
        <w:footnoteRef/>
      </w:r>
      <w:r w:rsidRPr="009B5F3F">
        <w:rPr>
          <w:lang w:val="ru-RU"/>
        </w:rPr>
        <w:t xml:space="preserve"> </w:t>
      </w:r>
      <w:r w:rsidRPr="003635FD">
        <w:t xml:space="preserve">Одитно доказателство № </w:t>
      </w:r>
      <w:r>
        <w:t>1</w:t>
      </w:r>
      <w:r w:rsidRPr="003635FD">
        <w:t xml:space="preserve">22 </w:t>
      </w:r>
    </w:p>
  </w:footnote>
  <w:footnote w:id="217">
    <w:p w:rsidR="003C736D" w:rsidRPr="003C2C93" w:rsidRDefault="003C736D" w:rsidP="000C097A">
      <w:pPr>
        <w:pStyle w:val="FootnoteText"/>
      </w:pPr>
      <w:r w:rsidRPr="003C2C93">
        <w:rPr>
          <w:rStyle w:val="FootnoteReference"/>
        </w:rPr>
        <w:footnoteRef/>
      </w:r>
      <w:r w:rsidRPr="003C2C93">
        <w:t xml:space="preserve"> Одитно доказателство № 121</w:t>
      </w:r>
    </w:p>
  </w:footnote>
  <w:footnote w:id="218">
    <w:p w:rsidR="003C736D" w:rsidRPr="00000E7B" w:rsidRDefault="003C736D" w:rsidP="000C097A">
      <w:pPr>
        <w:pStyle w:val="FootnoteText"/>
      </w:pPr>
      <w:r w:rsidRPr="00000E7B">
        <w:rPr>
          <w:rStyle w:val="FootnoteReference"/>
        </w:rPr>
        <w:footnoteRef/>
      </w:r>
      <w:r w:rsidRPr="00000E7B">
        <w:t xml:space="preserve"> Одитни доказателства №118 и №</w:t>
      </w:r>
      <w:r>
        <w:t xml:space="preserve"> </w:t>
      </w:r>
      <w:r w:rsidRPr="00000E7B">
        <w:t>119</w:t>
      </w:r>
    </w:p>
  </w:footnote>
  <w:footnote w:id="219">
    <w:p w:rsidR="003C736D" w:rsidRPr="000C1672" w:rsidRDefault="003C736D" w:rsidP="000C097A">
      <w:pPr>
        <w:pStyle w:val="FootnoteText"/>
      </w:pPr>
      <w:r>
        <w:rPr>
          <w:rStyle w:val="FootnoteReference"/>
        </w:rPr>
        <w:footnoteRef/>
      </w:r>
      <w:r>
        <w:t xml:space="preserve"> </w:t>
      </w:r>
      <w:r w:rsidRPr="000C1672">
        <w:t xml:space="preserve">Одитно доказателство № </w:t>
      </w:r>
      <w:r>
        <w:t>105</w:t>
      </w:r>
    </w:p>
  </w:footnote>
  <w:footnote w:id="220">
    <w:p w:rsidR="003C736D" w:rsidRPr="007B6376" w:rsidRDefault="003C736D" w:rsidP="000C097A">
      <w:pPr>
        <w:pStyle w:val="FootnoteText"/>
      </w:pPr>
      <w:r w:rsidRPr="00617D91">
        <w:rPr>
          <w:rStyle w:val="FootnoteReference"/>
        </w:rPr>
        <w:footnoteRef/>
      </w:r>
      <w:r w:rsidRPr="00617D91">
        <w:t xml:space="preserve"> </w:t>
      </w:r>
      <w:r>
        <w:t xml:space="preserve">Одитно доказателство № 124 </w:t>
      </w:r>
    </w:p>
  </w:footnote>
  <w:footnote w:id="221">
    <w:p w:rsidR="003C736D" w:rsidRPr="007E4145" w:rsidRDefault="003C736D" w:rsidP="000C097A">
      <w:pPr>
        <w:pStyle w:val="FootnoteText"/>
      </w:pPr>
      <w:r>
        <w:rPr>
          <w:rStyle w:val="FootnoteReference"/>
        </w:rPr>
        <w:footnoteRef/>
      </w:r>
      <w:r>
        <w:t xml:space="preserve"> </w:t>
      </w:r>
      <w:r w:rsidRPr="00DC4E03">
        <w:t xml:space="preserve">Одитно доказателство № </w:t>
      </w:r>
      <w:r>
        <w:t xml:space="preserve">125 </w:t>
      </w:r>
    </w:p>
  </w:footnote>
  <w:footnote w:id="222">
    <w:p w:rsidR="003C736D" w:rsidRPr="00AD75D9" w:rsidRDefault="003C736D" w:rsidP="000C097A">
      <w:pPr>
        <w:pStyle w:val="FootnoteText"/>
      </w:pPr>
      <w:r w:rsidRPr="00414EB7">
        <w:rPr>
          <w:rStyle w:val="FootnoteReference"/>
        </w:rPr>
        <w:footnoteRef/>
      </w:r>
      <w:r w:rsidRPr="00414EB7">
        <w:t xml:space="preserve"> </w:t>
      </w:r>
      <w:r w:rsidRPr="00DC4E03">
        <w:t xml:space="preserve">Одитно доказателство № </w:t>
      </w:r>
      <w:r>
        <w:t xml:space="preserve">126 </w:t>
      </w:r>
    </w:p>
  </w:footnote>
  <w:footnote w:id="223">
    <w:p w:rsidR="003C736D" w:rsidRPr="00282EF8" w:rsidRDefault="003C736D" w:rsidP="000C097A">
      <w:pPr>
        <w:pStyle w:val="FootnoteText"/>
      </w:pPr>
      <w:r>
        <w:rPr>
          <w:rStyle w:val="FootnoteReference"/>
        </w:rPr>
        <w:footnoteRef/>
      </w:r>
      <w:r>
        <w:t xml:space="preserve"> Одитно доказателство</w:t>
      </w:r>
      <w:r w:rsidRPr="00414EB7">
        <w:t xml:space="preserve"> № </w:t>
      </w:r>
      <w:r>
        <w:t xml:space="preserve">127 </w:t>
      </w:r>
    </w:p>
  </w:footnote>
  <w:footnote w:id="224">
    <w:p w:rsidR="003C736D" w:rsidRPr="00414EB7" w:rsidRDefault="003C736D" w:rsidP="000C097A">
      <w:pPr>
        <w:pStyle w:val="FootnoteText"/>
        <w:jc w:val="both"/>
      </w:pPr>
      <w:r w:rsidRPr="00414EB7">
        <w:rPr>
          <w:rStyle w:val="FootnoteReference"/>
        </w:rPr>
        <w:footnoteRef/>
      </w:r>
      <w:r w:rsidRPr="00414EB7">
        <w:t xml:space="preserve"> </w:t>
      </w:r>
      <w:r>
        <w:t>Одитно доказателство</w:t>
      </w:r>
      <w:r w:rsidRPr="00414EB7">
        <w:t xml:space="preserve"> № </w:t>
      </w:r>
      <w:r>
        <w:t>128</w:t>
      </w:r>
      <w:r w:rsidRPr="00414EB7">
        <w:t xml:space="preserve"> </w:t>
      </w:r>
    </w:p>
  </w:footnote>
  <w:footnote w:id="225">
    <w:p w:rsidR="003C736D" w:rsidRPr="00E928BB" w:rsidRDefault="003C736D" w:rsidP="000C097A">
      <w:pPr>
        <w:pStyle w:val="FootnoteText"/>
      </w:pPr>
      <w:r>
        <w:rPr>
          <w:rStyle w:val="FootnoteReference"/>
        </w:rPr>
        <w:footnoteRef/>
      </w:r>
      <w:r>
        <w:t xml:space="preserve"> Одитно доказателство</w:t>
      </w:r>
      <w:r w:rsidRPr="00114D47">
        <w:t xml:space="preserve"> № </w:t>
      </w:r>
      <w:r>
        <w:t xml:space="preserve">129 </w:t>
      </w:r>
    </w:p>
  </w:footnote>
  <w:footnote w:id="226">
    <w:p w:rsidR="003C736D" w:rsidRPr="00AF7908" w:rsidRDefault="003C736D" w:rsidP="000C097A">
      <w:pPr>
        <w:pStyle w:val="FootnoteText"/>
      </w:pPr>
      <w:r w:rsidRPr="00414EB7">
        <w:rPr>
          <w:rStyle w:val="FootnoteReference"/>
        </w:rPr>
        <w:footnoteRef/>
      </w:r>
      <w:r w:rsidRPr="00414EB7">
        <w:t xml:space="preserve"> </w:t>
      </w:r>
      <w:r>
        <w:t>Одитно доказателство</w:t>
      </w:r>
      <w:r w:rsidRPr="00114D47">
        <w:t xml:space="preserve"> № </w:t>
      </w:r>
      <w:r>
        <w:t xml:space="preserve">130 </w:t>
      </w:r>
    </w:p>
  </w:footnote>
  <w:footnote w:id="227">
    <w:p w:rsidR="003C736D" w:rsidRPr="00F02AC8" w:rsidRDefault="003C736D" w:rsidP="000C097A">
      <w:pPr>
        <w:pStyle w:val="FootnoteText"/>
      </w:pPr>
      <w:r w:rsidRPr="00F02AC8">
        <w:rPr>
          <w:rStyle w:val="FootnoteReference"/>
        </w:rPr>
        <w:footnoteRef/>
      </w:r>
      <w:r w:rsidRPr="00F02AC8">
        <w:t xml:space="preserve"> Одитно доказателство № 131</w:t>
      </w:r>
    </w:p>
  </w:footnote>
  <w:footnote w:id="228">
    <w:p w:rsidR="003C736D" w:rsidRPr="00A90F40" w:rsidRDefault="003C736D" w:rsidP="000C097A">
      <w:pPr>
        <w:pStyle w:val="FootnoteText"/>
      </w:pPr>
      <w:r>
        <w:rPr>
          <w:rStyle w:val="FootnoteReference"/>
        </w:rPr>
        <w:footnoteRef/>
      </w:r>
      <w:r>
        <w:t xml:space="preserve"> </w:t>
      </w:r>
      <w:r w:rsidRPr="00A90F40">
        <w:t xml:space="preserve">Одитно доказателство № </w:t>
      </w:r>
      <w:r>
        <w:t>1</w:t>
      </w:r>
      <w:r w:rsidRPr="00A90F40">
        <w:t>31</w:t>
      </w:r>
    </w:p>
  </w:footnote>
  <w:footnote w:id="229">
    <w:p w:rsidR="003C736D" w:rsidRPr="004208DB" w:rsidRDefault="003C736D" w:rsidP="000C097A">
      <w:pPr>
        <w:pStyle w:val="FootnoteText"/>
      </w:pPr>
      <w:r w:rsidRPr="00615160">
        <w:rPr>
          <w:rStyle w:val="FootnoteReference"/>
        </w:rPr>
        <w:footnoteRef/>
      </w:r>
      <w:r w:rsidRPr="00615160">
        <w:t xml:space="preserve"> </w:t>
      </w:r>
      <w:r>
        <w:t>Одитно доказателство</w:t>
      </w:r>
      <w:r w:rsidRPr="00114D47">
        <w:t xml:space="preserve"> № </w:t>
      </w:r>
      <w:r>
        <w:t xml:space="preserve">132 </w:t>
      </w:r>
    </w:p>
  </w:footnote>
  <w:footnote w:id="230">
    <w:p w:rsidR="003C736D" w:rsidRPr="004208DB" w:rsidRDefault="003C736D" w:rsidP="000C097A">
      <w:pPr>
        <w:pStyle w:val="FootnoteText"/>
      </w:pPr>
      <w:r w:rsidRPr="00615160">
        <w:rPr>
          <w:rStyle w:val="FootnoteReference"/>
        </w:rPr>
        <w:footnoteRef/>
      </w:r>
      <w:r w:rsidRPr="00615160">
        <w:t xml:space="preserve"> </w:t>
      </w:r>
      <w:r>
        <w:t>Одитно доказателство</w:t>
      </w:r>
      <w:r w:rsidRPr="00114D47">
        <w:t xml:space="preserve"> № </w:t>
      </w:r>
      <w:r>
        <w:t xml:space="preserve">133 </w:t>
      </w:r>
    </w:p>
  </w:footnote>
  <w:footnote w:id="231">
    <w:p w:rsidR="003C736D" w:rsidRPr="004208DB" w:rsidRDefault="003C736D" w:rsidP="000C097A">
      <w:pPr>
        <w:pStyle w:val="FootnoteText"/>
      </w:pPr>
      <w:r>
        <w:rPr>
          <w:rStyle w:val="FootnoteReference"/>
        </w:rPr>
        <w:footnoteRef/>
      </w:r>
      <w:r>
        <w:t xml:space="preserve"> Одитно доказателство</w:t>
      </w:r>
      <w:r w:rsidRPr="00114D47">
        <w:t xml:space="preserve"> № </w:t>
      </w:r>
      <w:r>
        <w:t xml:space="preserve">133 </w:t>
      </w:r>
    </w:p>
  </w:footnote>
  <w:footnote w:id="232">
    <w:p w:rsidR="003C736D" w:rsidRDefault="003C736D" w:rsidP="000C097A">
      <w:pPr>
        <w:pStyle w:val="FootnoteText"/>
      </w:pPr>
      <w:r>
        <w:rPr>
          <w:rStyle w:val="FootnoteReference"/>
        </w:rPr>
        <w:footnoteRef/>
      </w:r>
      <w:r>
        <w:t xml:space="preserve"> Договор за генерално спонсорство </w:t>
      </w:r>
      <w:r>
        <w:rPr>
          <w:lang w:eastAsia="zh-CN"/>
        </w:rPr>
        <w:t>№ 11-001506-1/18.07.2011 г., сключен за срок от 6 години</w:t>
      </w:r>
    </w:p>
  </w:footnote>
  <w:footnote w:id="233">
    <w:p w:rsidR="003C736D" w:rsidRPr="00615160" w:rsidRDefault="003C736D" w:rsidP="000C097A">
      <w:pPr>
        <w:pStyle w:val="FootnoteText"/>
      </w:pPr>
      <w:r w:rsidRPr="00615160">
        <w:rPr>
          <w:rStyle w:val="FootnoteReference"/>
        </w:rPr>
        <w:footnoteRef/>
      </w:r>
      <w:r w:rsidRPr="00615160">
        <w:t xml:space="preserve"> Одитн</w:t>
      </w:r>
      <w:r>
        <w:t>и</w:t>
      </w:r>
      <w:r w:rsidRPr="00615160">
        <w:t xml:space="preserve"> доказателств</w:t>
      </w:r>
      <w:r>
        <w:t>а</w:t>
      </w:r>
      <w:r w:rsidRPr="00615160">
        <w:t xml:space="preserve"> № </w:t>
      </w:r>
      <w:r>
        <w:t>134 и № 135</w:t>
      </w:r>
    </w:p>
  </w:footnote>
  <w:footnote w:id="234">
    <w:p w:rsidR="003C736D" w:rsidRDefault="003C736D" w:rsidP="000C097A">
      <w:pPr>
        <w:pStyle w:val="FootnoteText"/>
      </w:pPr>
      <w:r>
        <w:rPr>
          <w:rStyle w:val="FootnoteReference"/>
        </w:rPr>
        <w:footnoteRef/>
      </w:r>
      <w:r>
        <w:t xml:space="preserve"> ред. ДВ, бр. 33 от 2012 г.</w:t>
      </w:r>
    </w:p>
  </w:footnote>
  <w:footnote w:id="235">
    <w:p w:rsidR="003C736D" w:rsidRPr="00CA64A4" w:rsidRDefault="003C736D" w:rsidP="000C097A">
      <w:pPr>
        <w:pStyle w:val="FootnoteText"/>
      </w:pPr>
      <w:r>
        <w:rPr>
          <w:rStyle w:val="FootnoteReference"/>
        </w:rPr>
        <w:footnoteRef/>
      </w:r>
      <w:r>
        <w:t xml:space="preserve"> </w:t>
      </w:r>
      <w:r w:rsidRPr="00CA64A4">
        <w:t xml:space="preserve">Одитно доказателство № </w:t>
      </w:r>
      <w:r>
        <w:t>1</w:t>
      </w:r>
      <w:r w:rsidRPr="00CA64A4">
        <w:t>3</w:t>
      </w:r>
      <w:r>
        <w:t>6</w:t>
      </w:r>
      <w:r w:rsidRPr="00CA64A4">
        <w:t xml:space="preserve"> </w:t>
      </w:r>
    </w:p>
  </w:footnote>
  <w:footnote w:id="236">
    <w:p w:rsidR="003C736D" w:rsidRDefault="003C736D" w:rsidP="000C097A">
      <w:pPr>
        <w:pStyle w:val="FootnoteText"/>
      </w:pPr>
      <w:r>
        <w:rPr>
          <w:rStyle w:val="FootnoteReference"/>
        </w:rPr>
        <w:footnoteRef/>
      </w:r>
      <w:r>
        <w:t xml:space="preserve"> </w:t>
      </w:r>
      <w:r w:rsidRPr="00CA64A4">
        <w:t xml:space="preserve">Одитно доказателство № </w:t>
      </w:r>
      <w:r>
        <w:t>1</w:t>
      </w:r>
      <w:r w:rsidRPr="00CA64A4">
        <w:t>3</w:t>
      </w:r>
      <w:r>
        <w:t>6</w:t>
      </w:r>
    </w:p>
  </w:footnote>
  <w:footnote w:id="237">
    <w:p w:rsidR="003C736D" w:rsidRDefault="003C736D" w:rsidP="000C097A">
      <w:pPr>
        <w:pStyle w:val="FootnoteText"/>
      </w:pPr>
      <w:r>
        <w:rPr>
          <w:rStyle w:val="FootnoteReference"/>
        </w:rPr>
        <w:footnoteRef/>
      </w:r>
      <w:r>
        <w:t xml:space="preserve"> </w:t>
      </w:r>
      <w:r w:rsidRPr="00CA64A4">
        <w:t xml:space="preserve">Одитно доказателство № </w:t>
      </w:r>
      <w:r>
        <w:t>1</w:t>
      </w:r>
      <w:r w:rsidRPr="00CA64A4">
        <w:t>3</w:t>
      </w:r>
      <w:r>
        <w:t>6</w:t>
      </w:r>
    </w:p>
  </w:footnote>
  <w:footnote w:id="238">
    <w:p w:rsidR="003C736D" w:rsidRPr="002A720C" w:rsidRDefault="003C736D" w:rsidP="000C097A">
      <w:pPr>
        <w:pStyle w:val="FootnoteText"/>
      </w:pPr>
      <w:r w:rsidRPr="002A720C">
        <w:rPr>
          <w:rStyle w:val="FootnoteReference"/>
        </w:rPr>
        <w:footnoteRef/>
      </w:r>
      <w:r w:rsidRPr="002A720C">
        <w:t xml:space="preserve"> Одитно доказателство № </w:t>
      </w:r>
      <w:r>
        <w:t>1</w:t>
      </w:r>
      <w:r w:rsidRPr="002A720C">
        <w:t>36</w:t>
      </w:r>
    </w:p>
  </w:footnote>
  <w:footnote w:id="239">
    <w:p w:rsidR="003C736D" w:rsidRDefault="003C736D" w:rsidP="000C097A">
      <w:pPr>
        <w:pStyle w:val="FootnoteText"/>
      </w:pPr>
      <w:r>
        <w:rPr>
          <w:rStyle w:val="FootnoteReference"/>
        </w:rPr>
        <w:footnoteRef/>
      </w:r>
      <w:r>
        <w:t xml:space="preserve"> </w:t>
      </w:r>
      <w:r w:rsidRPr="00F13F4F">
        <w:t>ред. ДВ, бр. 33 от 2012 г.</w:t>
      </w:r>
    </w:p>
  </w:footnote>
  <w:footnote w:id="240">
    <w:p w:rsidR="003C736D" w:rsidRPr="006E2151" w:rsidRDefault="003C736D">
      <w:pPr>
        <w:pStyle w:val="FootnoteText"/>
      </w:pPr>
      <w:r>
        <w:rPr>
          <w:rStyle w:val="FootnoteReference"/>
        </w:rPr>
        <w:footnoteRef/>
      </w:r>
      <w:r>
        <w:t xml:space="preserve"> Част </w:t>
      </w:r>
      <w:r>
        <w:rPr>
          <w:lang w:val="en-US"/>
        </w:rPr>
        <w:t xml:space="preserve">III </w:t>
      </w:r>
      <w:r>
        <w:t xml:space="preserve">Констатации, Раздел </w:t>
      </w:r>
      <w:r>
        <w:rPr>
          <w:lang w:val="en-US"/>
        </w:rPr>
        <w:t>III</w:t>
      </w:r>
      <w:r>
        <w:t>, т. 5.</w:t>
      </w:r>
    </w:p>
  </w:footnote>
  <w:footnote w:id="241">
    <w:p w:rsidR="003C736D" w:rsidRPr="003F721F" w:rsidRDefault="003C736D" w:rsidP="00AB0250">
      <w:pPr>
        <w:pStyle w:val="BodyText"/>
        <w:spacing w:after="0"/>
        <w:rPr>
          <w:sz w:val="20"/>
        </w:rPr>
      </w:pPr>
      <w:r w:rsidRPr="003F721F">
        <w:rPr>
          <w:rStyle w:val="FootnoteReference"/>
          <w:sz w:val="20"/>
        </w:rPr>
        <w:footnoteRef/>
      </w:r>
      <w:r w:rsidRPr="003F721F">
        <w:rPr>
          <w:sz w:val="20"/>
        </w:rPr>
        <w:t xml:space="preserve"> Част </w:t>
      </w:r>
      <w:r w:rsidRPr="003F721F">
        <w:rPr>
          <w:sz w:val="20"/>
          <w:lang w:val="en-US"/>
        </w:rPr>
        <w:t xml:space="preserve">III </w:t>
      </w:r>
      <w:r w:rsidRPr="003F721F">
        <w:rPr>
          <w:sz w:val="20"/>
        </w:rPr>
        <w:t xml:space="preserve">Констатации, Раздел </w:t>
      </w:r>
      <w:r w:rsidRPr="003F721F">
        <w:rPr>
          <w:sz w:val="20"/>
          <w:lang w:val="en-US"/>
        </w:rPr>
        <w:t>I</w:t>
      </w:r>
      <w:r w:rsidRPr="003F721F">
        <w:rPr>
          <w:sz w:val="20"/>
        </w:rPr>
        <w:t>, т. 1, под-точка 1.2. Решения по правомощия на едноличния собственик на капитала да изменя и допълва устава и за намаляване и увеличаване на капитала на дружеството</w:t>
      </w:r>
    </w:p>
  </w:footnote>
  <w:footnote w:id="242">
    <w:p w:rsidR="003C736D" w:rsidRPr="003F721F" w:rsidRDefault="003C736D" w:rsidP="00AB0250">
      <w:pPr>
        <w:outlineLvl w:val="0"/>
        <w:rPr>
          <w:sz w:val="20"/>
          <w:szCs w:val="20"/>
        </w:rPr>
      </w:pPr>
      <w:r w:rsidRPr="003F721F">
        <w:rPr>
          <w:rStyle w:val="FootnoteReference"/>
          <w:sz w:val="20"/>
          <w:szCs w:val="20"/>
        </w:rPr>
        <w:footnoteRef/>
      </w:r>
      <w:r w:rsidRPr="003F721F">
        <w:rPr>
          <w:sz w:val="20"/>
          <w:szCs w:val="20"/>
        </w:rPr>
        <w:t xml:space="preserve"> Част </w:t>
      </w:r>
      <w:r w:rsidRPr="003F721F">
        <w:rPr>
          <w:sz w:val="20"/>
          <w:szCs w:val="20"/>
          <w:lang w:val="en-US"/>
        </w:rPr>
        <w:t xml:space="preserve">III </w:t>
      </w:r>
      <w:r w:rsidRPr="003F721F">
        <w:rPr>
          <w:sz w:val="20"/>
          <w:szCs w:val="20"/>
        </w:rPr>
        <w:t xml:space="preserve">Констатации, Раздел </w:t>
      </w:r>
      <w:r w:rsidRPr="003F721F">
        <w:rPr>
          <w:sz w:val="20"/>
          <w:szCs w:val="20"/>
          <w:lang w:val="en-US"/>
        </w:rPr>
        <w:t>I</w:t>
      </w:r>
      <w:r w:rsidRPr="003F721F">
        <w:rPr>
          <w:sz w:val="20"/>
          <w:szCs w:val="20"/>
        </w:rPr>
        <w:t>, т. 1, под-точка 1.6. Разработване и представяне от Съвета на директорите на принципала за одобряване бизнес програма за целия срок на действие на договора за управление и поотделно за всяка една о</w:t>
      </w:r>
      <w:r>
        <w:rPr>
          <w:sz w:val="20"/>
          <w:szCs w:val="20"/>
        </w:rPr>
        <w:t>т годините</w:t>
      </w:r>
    </w:p>
  </w:footnote>
  <w:footnote w:id="243">
    <w:p w:rsidR="003C736D" w:rsidRDefault="003C736D" w:rsidP="00AB0250">
      <w:pPr>
        <w:outlineLvl w:val="0"/>
      </w:pPr>
      <w:r w:rsidRPr="003F721F">
        <w:rPr>
          <w:rStyle w:val="FootnoteReference"/>
          <w:sz w:val="20"/>
          <w:szCs w:val="20"/>
        </w:rPr>
        <w:footnoteRef/>
      </w:r>
      <w:r w:rsidRPr="003F721F">
        <w:rPr>
          <w:sz w:val="20"/>
          <w:szCs w:val="20"/>
        </w:rPr>
        <w:t xml:space="preserve"> Част </w:t>
      </w:r>
      <w:r w:rsidRPr="003F721F">
        <w:rPr>
          <w:sz w:val="20"/>
          <w:szCs w:val="20"/>
          <w:lang w:val="en-US"/>
        </w:rPr>
        <w:t xml:space="preserve">III </w:t>
      </w:r>
      <w:r w:rsidRPr="003F721F">
        <w:rPr>
          <w:sz w:val="20"/>
          <w:szCs w:val="20"/>
        </w:rPr>
        <w:t xml:space="preserve">Констатации, Раздел </w:t>
      </w:r>
      <w:r w:rsidRPr="003F721F">
        <w:rPr>
          <w:sz w:val="20"/>
          <w:szCs w:val="20"/>
          <w:lang w:val="en-US"/>
        </w:rPr>
        <w:t>I</w:t>
      </w:r>
      <w:r w:rsidRPr="003F721F">
        <w:rPr>
          <w:sz w:val="20"/>
          <w:szCs w:val="20"/>
        </w:rPr>
        <w:t>, т. 1, под-точка 1.6. Разработване и представяне от Съвета на директорите на принципала за одобряване бизнес програма за целия срок на действие на договора за управление и поотделно за всяка една от годините</w:t>
      </w:r>
    </w:p>
  </w:footnote>
  <w:footnote w:id="244">
    <w:p w:rsidR="003C736D" w:rsidRDefault="003C736D" w:rsidP="00AB0250">
      <w:pPr>
        <w:outlineLvl w:val="0"/>
      </w:pPr>
      <w:r w:rsidRPr="003F721F">
        <w:rPr>
          <w:rStyle w:val="FootnoteReference"/>
          <w:sz w:val="20"/>
          <w:szCs w:val="20"/>
        </w:rPr>
        <w:footnoteRef/>
      </w:r>
      <w:r w:rsidRPr="003F721F">
        <w:rPr>
          <w:sz w:val="20"/>
          <w:szCs w:val="20"/>
        </w:rPr>
        <w:t xml:space="preserve"> Част </w:t>
      </w:r>
      <w:r w:rsidRPr="003F721F">
        <w:rPr>
          <w:sz w:val="20"/>
          <w:szCs w:val="20"/>
          <w:lang w:val="en-US"/>
        </w:rPr>
        <w:t xml:space="preserve">III </w:t>
      </w:r>
      <w:r w:rsidRPr="003F721F">
        <w:rPr>
          <w:sz w:val="20"/>
          <w:szCs w:val="20"/>
        </w:rPr>
        <w:t xml:space="preserve">Констатации, Раздел </w:t>
      </w:r>
      <w:r w:rsidRPr="003F721F">
        <w:rPr>
          <w:sz w:val="20"/>
          <w:szCs w:val="20"/>
          <w:lang w:val="en-US"/>
        </w:rPr>
        <w:t>I</w:t>
      </w:r>
      <w:r w:rsidRPr="003F721F">
        <w:rPr>
          <w:sz w:val="20"/>
          <w:szCs w:val="20"/>
        </w:rPr>
        <w:t>, т. 1, под-точка 1.6. Разработване и представяне от Съвета на директорите на принципала за одобряване бизнес програма за целия срок на действие на договора за управление и поотделно за всяка една от годините</w:t>
      </w:r>
    </w:p>
  </w:footnote>
  <w:footnote w:id="245">
    <w:p w:rsidR="003C736D" w:rsidRDefault="003C736D" w:rsidP="00AB0250">
      <w:pPr>
        <w:pStyle w:val="FootnoteText"/>
      </w:pPr>
      <w:r>
        <w:rPr>
          <w:rStyle w:val="FootnoteReference"/>
        </w:rPr>
        <w:footnoteRef/>
      </w:r>
      <w:r>
        <w:t xml:space="preserve"> </w:t>
      </w:r>
      <w:r w:rsidRPr="003F721F">
        <w:t xml:space="preserve">Част </w:t>
      </w:r>
      <w:r w:rsidRPr="003F721F">
        <w:rPr>
          <w:lang w:val="en-US"/>
        </w:rPr>
        <w:t xml:space="preserve">III </w:t>
      </w:r>
      <w:r w:rsidRPr="003F721F">
        <w:t xml:space="preserve">Констатации, Раздел </w:t>
      </w:r>
      <w:r w:rsidRPr="003F721F">
        <w:rPr>
          <w:lang w:val="en-US"/>
        </w:rPr>
        <w:t>I</w:t>
      </w:r>
      <w:r w:rsidRPr="003F721F">
        <w:t xml:space="preserve">, т. 1, под-точка </w:t>
      </w:r>
      <w:r w:rsidRPr="003839C3">
        <w:t>1.9. Определяне структурата на управление и организация на дружеството</w:t>
      </w:r>
    </w:p>
  </w:footnote>
  <w:footnote w:id="246">
    <w:p w:rsidR="003C736D" w:rsidRDefault="003C736D" w:rsidP="00AB0250">
      <w:pPr>
        <w:pStyle w:val="FootnoteText"/>
      </w:pPr>
      <w:r>
        <w:rPr>
          <w:rStyle w:val="FootnoteReference"/>
        </w:rPr>
        <w:footnoteRef/>
      </w:r>
      <w:r>
        <w:t xml:space="preserve"> </w:t>
      </w:r>
      <w:r w:rsidRPr="00D50E8D">
        <w:t xml:space="preserve">Част </w:t>
      </w:r>
      <w:r w:rsidRPr="00D50E8D">
        <w:rPr>
          <w:lang w:val="en-US"/>
        </w:rPr>
        <w:t xml:space="preserve">III </w:t>
      </w:r>
      <w:r w:rsidRPr="00D50E8D">
        <w:t xml:space="preserve">Констатации, Раздел </w:t>
      </w:r>
      <w:r w:rsidRPr="00D50E8D">
        <w:rPr>
          <w:lang w:val="en-US"/>
        </w:rPr>
        <w:t>II</w:t>
      </w:r>
      <w:r w:rsidRPr="00D50E8D">
        <w:t>, т. 1</w:t>
      </w:r>
      <w:r w:rsidRPr="00D50E8D">
        <w:rPr>
          <w:lang w:val="en-US"/>
        </w:rPr>
        <w:t xml:space="preserve"> </w:t>
      </w:r>
      <w:r w:rsidRPr="00D50E8D">
        <w:t>Планиране и провеждане на процедури за отдаване под наем, сключване на договори и контрол</w:t>
      </w:r>
    </w:p>
  </w:footnote>
  <w:footnote w:id="247">
    <w:p w:rsidR="003C736D" w:rsidRDefault="003C736D" w:rsidP="00AB0250">
      <w:pPr>
        <w:pStyle w:val="FootnoteText"/>
      </w:pPr>
      <w:r>
        <w:rPr>
          <w:rStyle w:val="FootnoteReference"/>
        </w:rPr>
        <w:footnoteRef/>
      </w:r>
      <w:r>
        <w:t xml:space="preserve"> </w:t>
      </w:r>
      <w:r w:rsidRPr="00D50E8D">
        <w:t xml:space="preserve">Част </w:t>
      </w:r>
      <w:r w:rsidRPr="00D50E8D">
        <w:rPr>
          <w:lang w:val="en-US"/>
        </w:rPr>
        <w:t xml:space="preserve">III </w:t>
      </w:r>
      <w:r w:rsidRPr="00D50E8D">
        <w:t xml:space="preserve">Констатации, Раздел </w:t>
      </w:r>
      <w:r w:rsidRPr="00D50E8D">
        <w:rPr>
          <w:lang w:val="en-US"/>
        </w:rPr>
        <w:t>II</w:t>
      </w:r>
      <w:r>
        <w:t>, т. 2</w:t>
      </w:r>
      <w:r w:rsidRPr="00D50E8D">
        <w:rPr>
          <w:lang w:val="en-US"/>
        </w:rPr>
        <w:t xml:space="preserve"> </w:t>
      </w:r>
      <w:r w:rsidRPr="00D50E8D">
        <w:t>П</w:t>
      </w:r>
      <w:r>
        <w:t>риходи от наеми</w:t>
      </w:r>
    </w:p>
  </w:footnote>
  <w:footnote w:id="248">
    <w:p w:rsidR="003C736D" w:rsidRDefault="003C736D" w:rsidP="00E64952">
      <w:pPr>
        <w:pStyle w:val="FootnoteText"/>
      </w:pPr>
      <w:r>
        <w:rPr>
          <w:rStyle w:val="FootnoteReference"/>
        </w:rPr>
        <w:footnoteRef/>
      </w:r>
      <w:r>
        <w:t xml:space="preserve"> </w:t>
      </w:r>
      <w:r w:rsidRPr="00D50E8D">
        <w:t xml:space="preserve">Част </w:t>
      </w:r>
      <w:r w:rsidRPr="00D50E8D">
        <w:rPr>
          <w:lang w:val="en-US"/>
        </w:rPr>
        <w:t xml:space="preserve">III </w:t>
      </w:r>
      <w:r w:rsidRPr="00D50E8D">
        <w:t xml:space="preserve">Констатации, Раздел </w:t>
      </w:r>
      <w:r w:rsidRPr="00D50E8D">
        <w:rPr>
          <w:lang w:val="en-US"/>
        </w:rPr>
        <w:t>II</w:t>
      </w:r>
      <w:r>
        <w:rPr>
          <w:lang w:val="en-US"/>
        </w:rPr>
        <w:t>I</w:t>
      </w:r>
      <w:r>
        <w:t>, т. 2</w:t>
      </w:r>
      <w:r>
        <w:rPr>
          <w:lang w:val="en-US"/>
        </w:rPr>
        <w:t>.</w:t>
      </w:r>
      <w:r>
        <w:t>3. Профил на купувача</w:t>
      </w:r>
    </w:p>
  </w:footnote>
  <w:footnote w:id="249">
    <w:p w:rsidR="003C736D" w:rsidRPr="004A4C03" w:rsidRDefault="003C736D" w:rsidP="00E64952">
      <w:pPr>
        <w:pStyle w:val="FootnoteText"/>
        <w:rPr>
          <w:lang w:val="en-US"/>
        </w:rPr>
      </w:pPr>
      <w:r>
        <w:rPr>
          <w:rStyle w:val="FootnoteReference"/>
        </w:rPr>
        <w:footnoteRef/>
      </w:r>
      <w:r>
        <w:t xml:space="preserve"> </w:t>
      </w:r>
      <w:r w:rsidRPr="00D50E8D">
        <w:t xml:space="preserve">Част </w:t>
      </w:r>
      <w:r w:rsidRPr="00D50E8D">
        <w:rPr>
          <w:lang w:val="en-US"/>
        </w:rPr>
        <w:t xml:space="preserve">III </w:t>
      </w:r>
      <w:r w:rsidRPr="00D50E8D">
        <w:t xml:space="preserve">Констатации, Раздел </w:t>
      </w:r>
      <w:r w:rsidRPr="00D50E8D">
        <w:rPr>
          <w:lang w:val="en-US"/>
        </w:rPr>
        <w:t>II</w:t>
      </w:r>
      <w:r>
        <w:rPr>
          <w:lang w:val="en-US"/>
        </w:rPr>
        <w:t>I</w:t>
      </w:r>
      <w:r>
        <w:t>, т.т. 5.8 и 5.9.</w:t>
      </w:r>
    </w:p>
  </w:footnote>
  <w:footnote w:id="250">
    <w:p w:rsidR="003C736D" w:rsidRPr="00AB0250" w:rsidRDefault="003C736D" w:rsidP="002B7A47">
      <w:pPr>
        <w:pStyle w:val="FootnoteText"/>
        <w:jc w:val="both"/>
      </w:pPr>
      <w:r w:rsidRPr="00AB0250">
        <w:rPr>
          <w:rStyle w:val="FootnoteReference"/>
        </w:rPr>
        <w:footnoteRef/>
      </w:r>
      <w:r w:rsidRPr="00AB0250">
        <w:t xml:space="preserve"> Становището на одитираната организация е отразено в Работни документи №№ РД-И–</w:t>
      </w:r>
      <w:r w:rsidRPr="00AB0250">
        <w:rPr>
          <w:lang w:val="en-US"/>
        </w:rPr>
        <w:t>2_32-1(2)</w:t>
      </w:r>
      <w:r>
        <w:t xml:space="preserve"> от </w:t>
      </w:r>
      <w:r w:rsidRPr="00AB0250">
        <w:t>30.07.2015 г., РД-И–</w:t>
      </w:r>
      <w:r w:rsidRPr="00AB0250">
        <w:rPr>
          <w:lang w:val="en-US"/>
        </w:rPr>
        <w:t>2_32-</w:t>
      </w:r>
      <w:r w:rsidRPr="00AB0250">
        <w:t>2</w:t>
      </w:r>
      <w:r w:rsidRPr="00AB0250">
        <w:rPr>
          <w:lang w:val="en-US"/>
        </w:rPr>
        <w:t>(</w:t>
      </w:r>
      <w:r w:rsidRPr="00AB0250">
        <w:t>2</w:t>
      </w:r>
      <w:r w:rsidRPr="00AB0250">
        <w:rPr>
          <w:lang w:val="en-US"/>
        </w:rPr>
        <w:t>)</w:t>
      </w:r>
      <w:r w:rsidRPr="00AB0250">
        <w:t>/30.07.2015 г. и РД-И-2</w:t>
      </w:r>
      <w:r w:rsidRPr="00AB0250">
        <w:rPr>
          <w:lang w:val="en-US"/>
        </w:rPr>
        <w:t>_</w:t>
      </w:r>
      <w:r w:rsidRPr="00AB0250">
        <w:t>32-3(2)/30.07.2015 г.</w:t>
      </w:r>
    </w:p>
  </w:footnote>
  <w:footnote w:id="251">
    <w:p w:rsidR="003C736D" w:rsidRPr="00586F6C" w:rsidRDefault="003C736D" w:rsidP="00B728F8">
      <w:pPr>
        <w:widowControl w:val="0"/>
        <w:autoSpaceDE w:val="0"/>
        <w:autoSpaceDN w:val="0"/>
        <w:adjustRightInd w:val="0"/>
        <w:jc w:val="both"/>
      </w:pPr>
      <w:r w:rsidRPr="00586F6C">
        <w:rPr>
          <w:rStyle w:val="FootnoteReference"/>
        </w:rPr>
        <w:footnoteRef/>
      </w:r>
      <w:r w:rsidRPr="00586F6C">
        <w:t xml:space="preserve"> обн., ДВ, бр. 12 от 13.02.2015 г.</w:t>
      </w:r>
    </w:p>
    <w:p w:rsidR="003C736D" w:rsidRPr="00586F6C" w:rsidRDefault="003C736D" w:rsidP="00B728F8">
      <w:pPr>
        <w:widowControl w:val="0"/>
        <w:autoSpaceDE w:val="0"/>
        <w:autoSpaceDN w:val="0"/>
        <w:adjustRightInd w:val="0"/>
        <w:jc w:val="both"/>
      </w:pPr>
    </w:p>
  </w:footnote>
  <w:footnote w:id="252">
    <w:p w:rsidR="001320B1" w:rsidRPr="00390984" w:rsidRDefault="001320B1" w:rsidP="001320B1">
      <w:pPr>
        <w:pStyle w:val="FootnoteText"/>
        <w:jc w:val="both"/>
      </w:pPr>
      <w:r>
        <w:rPr>
          <w:rStyle w:val="FootnoteReference"/>
        </w:rPr>
        <w:footnoteRef/>
      </w:r>
      <w:r>
        <w:t xml:space="preserve"> </w:t>
      </w:r>
      <w:r w:rsidRPr="00390984">
        <w:t xml:space="preserve">активът е изваден от акционерния капитал на дружеството с </w:t>
      </w:r>
      <w:r w:rsidRPr="00390984">
        <w:rPr>
          <w:rFonts w:eastAsia="Calibri"/>
        </w:rPr>
        <w:t>Протокол № 28-00-6 от 08.07.2014 г. на министъра на младежта и спорта за намаляване капитала на дружеството</w:t>
      </w:r>
      <w:r w:rsidRPr="00390984">
        <w:t xml:space="preserve"> във връзка с Решение № 314 от 19.05.2014 г. </w:t>
      </w:r>
      <w:r>
        <w:t xml:space="preserve">на </w:t>
      </w:r>
      <w:r w:rsidRPr="00390984">
        <w:t xml:space="preserve">Министерски съвет </w:t>
      </w:r>
    </w:p>
    <w:p w:rsidR="001320B1" w:rsidRDefault="001320B1" w:rsidP="001320B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0464"/>
    <w:multiLevelType w:val="hybridMultilevel"/>
    <w:tmpl w:val="FA0A0084"/>
    <w:lvl w:ilvl="0" w:tplc="47CE1502">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63A46B5"/>
    <w:multiLevelType w:val="hybridMultilevel"/>
    <w:tmpl w:val="4E52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C362A"/>
    <w:multiLevelType w:val="hybridMultilevel"/>
    <w:tmpl w:val="6C8A6114"/>
    <w:lvl w:ilvl="0" w:tplc="519A03E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F2985"/>
    <w:multiLevelType w:val="multilevel"/>
    <w:tmpl w:val="A83EBDE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nsid w:val="2C1B44EB"/>
    <w:multiLevelType w:val="multilevel"/>
    <w:tmpl w:val="0DD4F6CC"/>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37964DF"/>
    <w:multiLevelType w:val="hybridMultilevel"/>
    <w:tmpl w:val="2B34EE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80613"/>
    <w:multiLevelType w:val="hybridMultilevel"/>
    <w:tmpl w:val="276A7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7B66B2"/>
    <w:multiLevelType w:val="multilevel"/>
    <w:tmpl w:val="D6BECC3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61BB10B3"/>
    <w:multiLevelType w:val="hybridMultilevel"/>
    <w:tmpl w:val="B6EA9ED2"/>
    <w:lvl w:ilvl="0" w:tplc="5C1C1356">
      <w:start w:val="1"/>
      <w:numFmt w:val="decimal"/>
      <w:lvlText w:val="%1."/>
      <w:lvlJc w:val="left"/>
      <w:pPr>
        <w:ind w:left="927" w:hanging="360"/>
      </w:pPr>
      <w:rPr>
        <w:rFonts w:hint="default"/>
        <w:b w:val="0"/>
        <w:i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nsid w:val="636849BE"/>
    <w:multiLevelType w:val="multilevel"/>
    <w:tmpl w:val="4FD4D0B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6C1B26DF"/>
    <w:multiLevelType w:val="hybridMultilevel"/>
    <w:tmpl w:val="19A4EE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724BA7"/>
    <w:multiLevelType w:val="hybridMultilevel"/>
    <w:tmpl w:val="1F881C14"/>
    <w:lvl w:ilvl="0" w:tplc="BBAC62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F45BBA"/>
    <w:multiLevelType w:val="hybridMultilevel"/>
    <w:tmpl w:val="C38C7A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E0C6C0E"/>
    <w:multiLevelType w:val="hybridMultilevel"/>
    <w:tmpl w:val="13D89BBE"/>
    <w:lvl w:ilvl="0" w:tplc="040EDFB0">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8"/>
  </w:num>
  <w:num w:numId="2">
    <w:abstractNumId w:val="4"/>
  </w:num>
  <w:num w:numId="3">
    <w:abstractNumId w:val="2"/>
  </w:num>
  <w:num w:numId="4">
    <w:abstractNumId w:val="7"/>
  </w:num>
  <w:num w:numId="5">
    <w:abstractNumId w:val="1"/>
  </w:num>
  <w:num w:numId="6">
    <w:abstractNumId w:val="6"/>
  </w:num>
  <w:num w:numId="7">
    <w:abstractNumId w:val="13"/>
  </w:num>
  <w:num w:numId="8">
    <w:abstractNumId w:val="3"/>
  </w:num>
  <w:num w:numId="9">
    <w:abstractNumId w:val="11"/>
  </w:num>
  <w:num w:numId="10">
    <w:abstractNumId w:val="10"/>
  </w:num>
  <w:num w:numId="11">
    <w:abstractNumId w:val="5"/>
  </w:num>
  <w:num w:numId="12">
    <w:abstractNumId w:val="1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65"/>
    <w:rsid w:val="0000277C"/>
    <w:rsid w:val="00004029"/>
    <w:rsid w:val="00004B00"/>
    <w:rsid w:val="00007373"/>
    <w:rsid w:val="00007ED9"/>
    <w:rsid w:val="00010922"/>
    <w:rsid w:val="0001101A"/>
    <w:rsid w:val="00012C2F"/>
    <w:rsid w:val="0001300F"/>
    <w:rsid w:val="00016610"/>
    <w:rsid w:val="00016D7A"/>
    <w:rsid w:val="00017E34"/>
    <w:rsid w:val="00020C08"/>
    <w:rsid w:val="0002336D"/>
    <w:rsid w:val="000250EE"/>
    <w:rsid w:val="00027807"/>
    <w:rsid w:val="00030AB4"/>
    <w:rsid w:val="00031DB4"/>
    <w:rsid w:val="00033376"/>
    <w:rsid w:val="00033FF9"/>
    <w:rsid w:val="0003571A"/>
    <w:rsid w:val="00035ADB"/>
    <w:rsid w:val="000367EC"/>
    <w:rsid w:val="00036A18"/>
    <w:rsid w:val="0003772D"/>
    <w:rsid w:val="0004047E"/>
    <w:rsid w:val="000410D7"/>
    <w:rsid w:val="0004320D"/>
    <w:rsid w:val="00043F95"/>
    <w:rsid w:val="000450F6"/>
    <w:rsid w:val="00053645"/>
    <w:rsid w:val="0005489D"/>
    <w:rsid w:val="00055311"/>
    <w:rsid w:val="00055781"/>
    <w:rsid w:val="00055C50"/>
    <w:rsid w:val="00055EEE"/>
    <w:rsid w:val="0005707C"/>
    <w:rsid w:val="00062135"/>
    <w:rsid w:val="000630FB"/>
    <w:rsid w:val="00063F2C"/>
    <w:rsid w:val="00064C83"/>
    <w:rsid w:val="0006508E"/>
    <w:rsid w:val="00065C91"/>
    <w:rsid w:val="0006601A"/>
    <w:rsid w:val="00066B4B"/>
    <w:rsid w:val="00071655"/>
    <w:rsid w:val="00073795"/>
    <w:rsid w:val="00075AB6"/>
    <w:rsid w:val="00076166"/>
    <w:rsid w:val="00076893"/>
    <w:rsid w:val="000769EF"/>
    <w:rsid w:val="00076F0C"/>
    <w:rsid w:val="00077AF0"/>
    <w:rsid w:val="00085761"/>
    <w:rsid w:val="00085C4A"/>
    <w:rsid w:val="00086611"/>
    <w:rsid w:val="000867DA"/>
    <w:rsid w:val="00090488"/>
    <w:rsid w:val="00091866"/>
    <w:rsid w:val="0009258A"/>
    <w:rsid w:val="000936BD"/>
    <w:rsid w:val="00097228"/>
    <w:rsid w:val="0009759B"/>
    <w:rsid w:val="000976F7"/>
    <w:rsid w:val="000A0BB5"/>
    <w:rsid w:val="000A180A"/>
    <w:rsid w:val="000A78AB"/>
    <w:rsid w:val="000B0931"/>
    <w:rsid w:val="000B156C"/>
    <w:rsid w:val="000B4F86"/>
    <w:rsid w:val="000B7F46"/>
    <w:rsid w:val="000C000E"/>
    <w:rsid w:val="000C097A"/>
    <w:rsid w:val="000C252B"/>
    <w:rsid w:val="000C3212"/>
    <w:rsid w:val="000C5128"/>
    <w:rsid w:val="000C5A82"/>
    <w:rsid w:val="000C5BCD"/>
    <w:rsid w:val="000C7185"/>
    <w:rsid w:val="000C71C3"/>
    <w:rsid w:val="000D0ED9"/>
    <w:rsid w:val="000D2378"/>
    <w:rsid w:val="000D2453"/>
    <w:rsid w:val="000D53BF"/>
    <w:rsid w:val="000D54DA"/>
    <w:rsid w:val="000D681E"/>
    <w:rsid w:val="000D7766"/>
    <w:rsid w:val="000E04FA"/>
    <w:rsid w:val="000E1F7D"/>
    <w:rsid w:val="000E6028"/>
    <w:rsid w:val="000E6095"/>
    <w:rsid w:val="000E7058"/>
    <w:rsid w:val="000F06B3"/>
    <w:rsid w:val="000F3892"/>
    <w:rsid w:val="000F4E36"/>
    <w:rsid w:val="000F5FBB"/>
    <w:rsid w:val="001015EB"/>
    <w:rsid w:val="001025AD"/>
    <w:rsid w:val="001027D9"/>
    <w:rsid w:val="00102C08"/>
    <w:rsid w:val="00102FBC"/>
    <w:rsid w:val="0010512D"/>
    <w:rsid w:val="00110072"/>
    <w:rsid w:val="001102F6"/>
    <w:rsid w:val="00112BEC"/>
    <w:rsid w:val="0011758F"/>
    <w:rsid w:val="001238CA"/>
    <w:rsid w:val="00123DC9"/>
    <w:rsid w:val="00124D9F"/>
    <w:rsid w:val="001273FF"/>
    <w:rsid w:val="00127E3F"/>
    <w:rsid w:val="00130F00"/>
    <w:rsid w:val="001320B1"/>
    <w:rsid w:val="00133598"/>
    <w:rsid w:val="00137644"/>
    <w:rsid w:val="00137657"/>
    <w:rsid w:val="001419C2"/>
    <w:rsid w:val="00141B2A"/>
    <w:rsid w:val="00143B33"/>
    <w:rsid w:val="00144E19"/>
    <w:rsid w:val="00145E19"/>
    <w:rsid w:val="0015374D"/>
    <w:rsid w:val="00154282"/>
    <w:rsid w:val="00154F67"/>
    <w:rsid w:val="0016037C"/>
    <w:rsid w:val="0016267C"/>
    <w:rsid w:val="00162720"/>
    <w:rsid w:val="00171E8A"/>
    <w:rsid w:val="00172862"/>
    <w:rsid w:val="0017700F"/>
    <w:rsid w:val="001770EF"/>
    <w:rsid w:val="00177B51"/>
    <w:rsid w:val="00177C7A"/>
    <w:rsid w:val="00180FDF"/>
    <w:rsid w:val="00182A0E"/>
    <w:rsid w:val="00183277"/>
    <w:rsid w:val="00186373"/>
    <w:rsid w:val="00186E3E"/>
    <w:rsid w:val="0018709F"/>
    <w:rsid w:val="00187FFA"/>
    <w:rsid w:val="00190485"/>
    <w:rsid w:val="00191993"/>
    <w:rsid w:val="00192359"/>
    <w:rsid w:val="001A0042"/>
    <w:rsid w:val="001A0796"/>
    <w:rsid w:val="001A1443"/>
    <w:rsid w:val="001A17CC"/>
    <w:rsid w:val="001A377C"/>
    <w:rsid w:val="001A6A77"/>
    <w:rsid w:val="001A7239"/>
    <w:rsid w:val="001B1176"/>
    <w:rsid w:val="001B1808"/>
    <w:rsid w:val="001B4A73"/>
    <w:rsid w:val="001C5471"/>
    <w:rsid w:val="001D2938"/>
    <w:rsid w:val="001D37C7"/>
    <w:rsid w:val="001D3E84"/>
    <w:rsid w:val="001D64A8"/>
    <w:rsid w:val="001E35FB"/>
    <w:rsid w:val="001E3614"/>
    <w:rsid w:val="001E3834"/>
    <w:rsid w:val="001E4F0B"/>
    <w:rsid w:val="001E5960"/>
    <w:rsid w:val="001F0405"/>
    <w:rsid w:val="001F44FD"/>
    <w:rsid w:val="001F6278"/>
    <w:rsid w:val="002108A5"/>
    <w:rsid w:val="00217B0F"/>
    <w:rsid w:val="00222B81"/>
    <w:rsid w:val="00222D05"/>
    <w:rsid w:val="0022433C"/>
    <w:rsid w:val="00225F85"/>
    <w:rsid w:val="00226A20"/>
    <w:rsid w:val="00227FD4"/>
    <w:rsid w:val="00230CE2"/>
    <w:rsid w:val="002352A6"/>
    <w:rsid w:val="00237610"/>
    <w:rsid w:val="00241ACE"/>
    <w:rsid w:val="002463D2"/>
    <w:rsid w:val="0025624B"/>
    <w:rsid w:val="002606F4"/>
    <w:rsid w:val="00260A53"/>
    <w:rsid w:val="002616D7"/>
    <w:rsid w:val="00261A97"/>
    <w:rsid w:val="002677DC"/>
    <w:rsid w:val="00270D17"/>
    <w:rsid w:val="002718CC"/>
    <w:rsid w:val="002748E9"/>
    <w:rsid w:val="00275CB3"/>
    <w:rsid w:val="002826A0"/>
    <w:rsid w:val="00283DE4"/>
    <w:rsid w:val="0028796D"/>
    <w:rsid w:val="00291801"/>
    <w:rsid w:val="002925E5"/>
    <w:rsid w:val="00294929"/>
    <w:rsid w:val="002952BF"/>
    <w:rsid w:val="00297878"/>
    <w:rsid w:val="002A35F2"/>
    <w:rsid w:val="002A3B10"/>
    <w:rsid w:val="002A3D3E"/>
    <w:rsid w:val="002A4C2D"/>
    <w:rsid w:val="002A5951"/>
    <w:rsid w:val="002A6488"/>
    <w:rsid w:val="002B04F7"/>
    <w:rsid w:val="002B4D1C"/>
    <w:rsid w:val="002B562D"/>
    <w:rsid w:val="002B7A47"/>
    <w:rsid w:val="002B7FBC"/>
    <w:rsid w:val="002C00B0"/>
    <w:rsid w:val="002C0594"/>
    <w:rsid w:val="002C07B7"/>
    <w:rsid w:val="002C2389"/>
    <w:rsid w:val="002D0503"/>
    <w:rsid w:val="002D1FAF"/>
    <w:rsid w:val="002D45DE"/>
    <w:rsid w:val="002D67A7"/>
    <w:rsid w:val="002D6D10"/>
    <w:rsid w:val="002D70F9"/>
    <w:rsid w:val="002D7371"/>
    <w:rsid w:val="002E0DEC"/>
    <w:rsid w:val="002E1F4C"/>
    <w:rsid w:val="002E2C19"/>
    <w:rsid w:val="002E57BB"/>
    <w:rsid w:val="002F0E9E"/>
    <w:rsid w:val="002F1E43"/>
    <w:rsid w:val="002F30D8"/>
    <w:rsid w:val="002F55E3"/>
    <w:rsid w:val="002F6CF8"/>
    <w:rsid w:val="002F7F2F"/>
    <w:rsid w:val="00300E72"/>
    <w:rsid w:val="003017BC"/>
    <w:rsid w:val="0030291A"/>
    <w:rsid w:val="00306F89"/>
    <w:rsid w:val="00307B2A"/>
    <w:rsid w:val="00313431"/>
    <w:rsid w:val="0031427C"/>
    <w:rsid w:val="00314FA7"/>
    <w:rsid w:val="00315A5D"/>
    <w:rsid w:val="003168C3"/>
    <w:rsid w:val="003174F1"/>
    <w:rsid w:val="00317862"/>
    <w:rsid w:val="00324D59"/>
    <w:rsid w:val="003279F0"/>
    <w:rsid w:val="00330437"/>
    <w:rsid w:val="00330AC5"/>
    <w:rsid w:val="00331F40"/>
    <w:rsid w:val="00333DAF"/>
    <w:rsid w:val="00335FC4"/>
    <w:rsid w:val="00336600"/>
    <w:rsid w:val="003370F5"/>
    <w:rsid w:val="0033741C"/>
    <w:rsid w:val="00340C38"/>
    <w:rsid w:val="00342AC3"/>
    <w:rsid w:val="00343C11"/>
    <w:rsid w:val="00344A4D"/>
    <w:rsid w:val="00346CD0"/>
    <w:rsid w:val="00350A31"/>
    <w:rsid w:val="003518F3"/>
    <w:rsid w:val="00352CFC"/>
    <w:rsid w:val="00352E75"/>
    <w:rsid w:val="00352FC8"/>
    <w:rsid w:val="00353CAB"/>
    <w:rsid w:val="00353FC1"/>
    <w:rsid w:val="00354D6C"/>
    <w:rsid w:val="003623AE"/>
    <w:rsid w:val="00363961"/>
    <w:rsid w:val="00367842"/>
    <w:rsid w:val="00373800"/>
    <w:rsid w:val="0037424F"/>
    <w:rsid w:val="00374A52"/>
    <w:rsid w:val="00375F66"/>
    <w:rsid w:val="00380F47"/>
    <w:rsid w:val="00383568"/>
    <w:rsid w:val="00384B46"/>
    <w:rsid w:val="003873D7"/>
    <w:rsid w:val="00387801"/>
    <w:rsid w:val="00390682"/>
    <w:rsid w:val="00390D90"/>
    <w:rsid w:val="00390DE7"/>
    <w:rsid w:val="003B0DE5"/>
    <w:rsid w:val="003B1753"/>
    <w:rsid w:val="003B1C4C"/>
    <w:rsid w:val="003C736D"/>
    <w:rsid w:val="003C7D3F"/>
    <w:rsid w:val="003C7E3A"/>
    <w:rsid w:val="003D13B4"/>
    <w:rsid w:val="003D26CE"/>
    <w:rsid w:val="003D2D05"/>
    <w:rsid w:val="003D317E"/>
    <w:rsid w:val="003D47C2"/>
    <w:rsid w:val="003D62BC"/>
    <w:rsid w:val="003D77C6"/>
    <w:rsid w:val="003E271D"/>
    <w:rsid w:val="003E5257"/>
    <w:rsid w:val="003E7BA3"/>
    <w:rsid w:val="003F3BFC"/>
    <w:rsid w:val="003F447C"/>
    <w:rsid w:val="003F473F"/>
    <w:rsid w:val="00402A6C"/>
    <w:rsid w:val="004039E8"/>
    <w:rsid w:val="00406091"/>
    <w:rsid w:val="00406875"/>
    <w:rsid w:val="00406958"/>
    <w:rsid w:val="00411A48"/>
    <w:rsid w:val="00411DF8"/>
    <w:rsid w:val="004150F5"/>
    <w:rsid w:val="00415455"/>
    <w:rsid w:val="00417023"/>
    <w:rsid w:val="004178B7"/>
    <w:rsid w:val="00417E7E"/>
    <w:rsid w:val="00423799"/>
    <w:rsid w:val="00424D8B"/>
    <w:rsid w:val="004257B4"/>
    <w:rsid w:val="00430D68"/>
    <w:rsid w:val="00430E18"/>
    <w:rsid w:val="00432585"/>
    <w:rsid w:val="00432BDE"/>
    <w:rsid w:val="004336EF"/>
    <w:rsid w:val="0043456C"/>
    <w:rsid w:val="004347A8"/>
    <w:rsid w:val="00435C17"/>
    <w:rsid w:val="00436046"/>
    <w:rsid w:val="004374A8"/>
    <w:rsid w:val="00437DD2"/>
    <w:rsid w:val="004443BC"/>
    <w:rsid w:val="00453E80"/>
    <w:rsid w:val="0045621C"/>
    <w:rsid w:val="00456BFC"/>
    <w:rsid w:val="0045700F"/>
    <w:rsid w:val="00462985"/>
    <w:rsid w:val="00463BA7"/>
    <w:rsid w:val="0046437F"/>
    <w:rsid w:val="00464AB7"/>
    <w:rsid w:val="00464C6B"/>
    <w:rsid w:val="004653D8"/>
    <w:rsid w:val="00467CE1"/>
    <w:rsid w:val="004726A4"/>
    <w:rsid w:val="00472B7D"/>
    <w:rsid w:val="00476033"/>
    <w:rsid w:val="00477BA8"/>
    <w:rsid w:val="00477D7E"/>
    <w:rsid w:val="00481259"/>
    <w:rsid w:val="00483CD4"/>
    <w:rsid w:val="004873EB"/>
    <w:rsid w:val="00490ACA"/>
    <w:rsid w:val="00492784"/>
    <w:rsid w:val="00493F3B"/>
    <w:rsid w:val="00494F01"/>
    <w:rsid w:val="0049525A"/>
    <w:rsid w:val="004A00BB"/>
    <w:rsid w:val="004A0135"/>
    <w:rsid w:val="004A1C6A"/>
    <w:rsid w:val="004A21A2"/>
    <w:rsid w:val="004A37B4"/>
    <w:rsid w:val="004A4C03"/>
    <w:rsid w:val="004A4E1D"/>
    <w:rsid w:val="004A5A72"/>
    <w:rsid w:val="004B03A3"/>
    <w:rsid w:val="004B098C"/>
    <w:rsid w:val="004B177F"/>
    <w:rsid w:val="004B569D"/>
    <w:rsid w:val="004B6DC9"/>
    <w:rsid w:val="004B787B"/>
    <w:rsid w:val="004B7DB4"/>
    <w:rsid w:val="004C22DA"/>
    <w:rsid w:val="004C23EE"/>
    <w:rsid w:val="004C3230"/>
    <w:rsid w:val="004C35D0"/>
    <w:rsid w:val="004C4A7B"/>
    <w:rsid w:val="004C5C3D"/>
    <w:rsid w:val="004D1FAE"/>
    <w:rsid w:val="004D230A"/>
    <w:rsid w:val="004D39B9"/>
    <w:rsid w:val="004D40EF"/>
    <w:rsid w:val="004D48D0"/>
    <w:rsid w:val="004D6D51"/>
    <w:rsid w:val="004D7CAB"/>
    <w:rsid w:val="004E4A7C"/>
    <w:rsid w:val="004E69A3"/>
    <w:rsid w:val="004F150C"/>
    <w:rsid w:val="004F2B7C"/>
    <w:rsid w:val="004F4CBD"/>
    <w:rsid w:val="004F6A4E"/>
    <w:rsid w:val="00501AD7"/>
    <w:rsid w:val="00503630"/>
    <w:rsid w:val="00503F49"/>
    <w:rsid w:val="005048F8"/>
    <w:rsid w:val="00504E49"/>
    <w:rsid w:val="005057A3"/>
    <w:rsid w:val="00506E00"/>
    <w:rsid w:val="00510141"/>
    <w:rsid w:val="0051026B"/>
    <w:rsid w:val="0051080B"/>
    <w:rsid w:val="005115B6"/>
    <w:rsid w:val="00511D66"/>
    <w:rsid w:val="00516B11"/>
    <w:rsid w:val="0052245C"/>
    <w:rsid w:val="00523058"/>
    <w:rsid w:val="0053100A"/>
    <w:rsid w:val="0053113A"/>
    <w:rsid w:val="00531273"/>
    <w:rsid w:val="00531FBA"/>
    <w:rsid w:val="00533FAA"/>
    <w:rsid w:val="00534EA9"/>
    <w:rsid w:val="00540E6B"/>
    <w:rsid w:val="00544B88"/>
    <w:rsid w:val="00550093"/>
    <w:rsid w:val="00551704"/>
    <w:rsid w:val="0055251F"/>
    <w:rsid w:val="00554509"/>
    <w:rsid w:val="00556034"/>
    <w:rsid w:val="00560634"/>
    <w:rsid w:val="005606F8"/>
    <w:rsid w:val="0056099A"/>
    <w:rsid w:val="0056393D"/>
    <w:rsid w:val="0057132D"/>
    <w:rsid w:val="005714CB"/>
    <w:rsid w:val="00572ACA"/>
    <w:rsid w:val="005747EC"/>
    <w:rsid w:val="005749AB"/>
    <w:rsid w:val="0057562F"/>
    <w:rsid w:val="00575ED7"/>
    <w:rsid w:val="005815AC"/>
    <w:rsid w:val="0058251D"/>
    <w:rsid w:val="00583761"/>
    <w:rsid w:val="00585DD2"/>
    <w:rsid w:val="00586028"/>
    <w:rsid w:val="005901F1"/>
    <w:rsid w:val="00593DDB"/>
    <w:rsid w:val="0059522B"/>
    <w:rsid w:val="0059550A"/>
    <w:rsid w:val="005A61E6"/>
    <w:rsid w:val="005A6914"/>
    <w:rsid w:val="005B0F1E"/>
    <w:rsid w:val="005B2FCE"/>
    <w:rsid w:val="005B314D"/>
    <w:rsid w:val="005B3EB1"/>
    <w:rsid w:val="005B4FBE"/>
    <w:rsid w:val="005C0158"/>
    <w:rsid w:val="005C31A4"/>
    <w:rsid w:val="005D13CE"/>
    <w:rsid w:val="005D3333"/>
    <w:rsid w:val="005E0F5D"/>
    <w:rsid w:val="005E238A"/>
    <w:rsid w:val="005E2985"/>
    <w:rsid w:val="005E4A5D"/>
    <w:rsid w:val="005E513F"/>
    <w:rsid w:val="005E6124"/>
    <w:rsid w:val="005E66F0"/>
    <w:rsid w:val="005E7BC0"/>
    <w:rsid w:val="005F055E"/>
    <w:rsid w:val="005F0DFF"/>
    <w:rsid w:val="005F3672"/>
    <w:rsid w:val="005F489F"/>
    <w:rsid w:val="005F4B15"/>
    <w:rsid w:val="005F5650"/>
    <w:rsid w:val="005F5AA9"/>
    <w:rsid w:val="005F77D4"/>
    <w:rsid w:val="005F7D3F"/>
    <w:rsid w:val="00602796"/>
    <w:rsid w:val="006036AF"/>
    <w:rsid w:val="006107AC"/>
    <w:rsid w:val="00612B18"/>
    <w:rsid w:val="00612C10"/>
    <w:rsid w:val="00615BEF"/>
    <w:rsid w:val="00616029"/>
    <w:rsid w:val="00616CF5"/>
    <w:rsid w:val="006171F5"/>
    <w:rsid w:val="00620760"/>
    <w:rsid w:val="00621BAE"/>
    <w:rsid w:val="00622699"/>
    <w:rsid w:val="0062574D"/>
    <w:rsid w:val="0062592E"/>
    <w:rsid w:val="00626516"/>
    <w:rsid w:val="00626F7C"/>
    <w:rsid w:val="0062708E"/>
    <w:rsid w:val="00630CCD"/>
    <w:rsid w:val="00630FE1"/>
    <w:rsid w:val="00644009"/>
    <w:rsid w:val="00652C51"/>
    <w:rsid w:val="0065369F"/>
    <w:rsid w:val="006537CD"/>
    <w:rsid w:val="0066177D"/>
    <w:rsid w:val="00661E8A"/>
    <w:rsid w:val="0066508F"/>
    <w:rsid w:val="00665E28"/>
    <w:rsid w:val="00671038"/>
    <w:rsid w:val="0067397B"/>
    <w:rsid w:val="00673F5B"/>
    <w:rsid w:val="0067589B"/>
    <w:rsid w:val="00675EAF"/>
    <w:rsid w:val="00680162"/>
    <w:rsid w:val="00681943"/>
    <w:rsid w:val="00681FE7"/>
    <w:rsid w:val="00682DB0"/>
    <w:rsid w:val="00683ED8"/>
    <w:rsid w:val="006858D2"/>
    <w:rsid w:val="0068628B"/>
    <w:rsid w:val="006942BD"/>
    <w:rsid w:val="006948C7"/>
    <w:rsid w:val="006950A6"/>
    <w:rsid w:val="006959CE"/>
    <w:rsid w:val="0069651F"/>
    <w:rsid w:val="006966AD"/>
    <w:rsid w:val="00696758"/>
    <w:rsid w:val="006A112C"/>
    <w:rsid w:val="006A18FC"/>
    <w:rsid w:val="006A1965"/>
    <w:rsid w:val="006A272E"/>
    <w:rsid w:val="006A3F5F"/>
    <w:rsid w:val="006A68C2"/>
    <w:rsid w:val="006B2F15"/>
    <w:rsid w:val="006B32AE"/>
    <w:rsid w:val="006B45FF"/>
    <w:rsid w:val="006B4725"/>
    <w:rsid w:val="006B57BF"/>
    <w:rsid w:val="006B6C5A"/>
    <w:rsid w:val="006B75E6"/>
    <w:rsid w:val="006B7822"/>
    <w:rsid w:val="006B782D"/>
    <w:rsid w:val="006C28FA"/>
    <w:rsid w:val="006C2BAA"/>
    <w:rsid w:val="006C45BF"/>
    <w:rsid w:val="006C4BBE"/>
    <w:rsid w:val="006C5489"/>
    <w:rsid w:val="006C7A4C"/>
    <w:rsid w:val="006D0129"/>
    <w:rsid w:val="006D0CE9"/>
    <w:rsid w:val="006D450A"/>
    <w:rsid w:val="006D4E97"/>
    <w:rsid w:val="006D535A"/>
    <w:rsid w:val="006D650B"/>
    <w:rsid w:val="006E1254"/>
    <w:rsid w:val="006E19DF"/>
    <w:rsid w:val="006E211C"/>
    <w:rsid w:val="006E2151"/>
    <w:rsid w:val="006E4BCF"/>
    <w:rsid w:val="006E6D4E"/>
    <w:rsid w:val="006E74CE"/>
    <w:rsid w:val="006F277A"/>
    <w:rsid w:val="006F42E3"/>
    <w:rsid w:val="006F698C"/>
    <w:rsid w:val="00701B37"/>
    <w:rsid w:val="00702246"/>
    <w:rsid w:val="00702AF0"/>
    <w:rsid w:val="007063C9"/>
    <w:rsid w:val="0070655F"/>
    <w:rsid w:val="007065EC"/>
    <w:rsid w:val="007101E3"/>
    <w:rsid w:val="00710553"/>
    <w:rsid w:val="0071214A"/>
    <w:rsid w:val="00713FE1"/>
    <w:rsid w:val="00716193"/>
    <w:rsid w:val="00721284"/>
    <w:rsid w:val="007242CF"/>
    <w:rsid w:val="007311D8"/>
    <w:rsid w:val="00732676"/>
    <w:rsid w:val="00732695"/>
    <w:rsid w:val="00732740"/>
    <w:rsid w:val="00732CA6"/>
    <w:rsid w:val="00734E74"/>
    <w:rsid w:val="007354AA"/>
    <w:rsid w:val="00736E7C"/>
    <w:rsid w:val="007430E3"/>
    <w:rsid w:val="00743B1C"/>
    <w:rsid w:val="00745C4E"/>
    <w:rsid w:val="0074708E"/>
    <w:rsid w:val="00747701"/>
    <w:rsid w:val="00750CC3"/>
    <w:rsid w:val="00751CD8"/>
    <w:rsid w:val="007527E9"/>
    <w:rsid w:val="00753AA4"/>
    <w:rsid w:val="007544ED"/>
    <w:rsid w:val="00755BB2"/>
    <w:rsid w:val="007607D9"/>
    <w:rsid w:val="00767CE7"/>
    <w:rsid w:val="00771399"/>
    <w:rsid w:val="0077582B"/>
    <w:rsid w:val="0077734A"/>
    <w:rsid w:val="0077756B"/>
    <w:rsid w:val="0077758E"/>
    <w:rsid w:val="00777913"/>
    <w:rsid w:val="00782136"/>
    <w:rsid w:val="007827F3"/>
    <w:rsid w:val="00790EAA"/>
    <w:rsid w:val="0079301B"/>
    <w:rsid w:val="00793911"/>
    <w:rsid w:val="00795099"/>
    <w:rsid w:val="00795158"/>
    <w:rsid w:val="0079523F"/>
    <w:rsid w:val="00796183"/>
    <w:rsid w:val="007A1BB9"/>
    <w:rsid w:val="007A26C1"/>
    <w:rsid w:val="007A27F0"/>
    <w:rsid w:val="007A3E88"/>
    <w:rsid w:val="007A44A8"/>
    <w:rsid w:val="007A4598"/>
    <w:rsid w:val="007A494F"/>
    <w:rsid w:val="007A5C46"/>
    <w:rsid w:val="007A7723"/>
    <w:rsid w:val="007B0836"/>
    <w:rsid w:val="007B2494"/>
    <w:rsid w:val="007B3FAC"/>
    <w:rsid w:val="007B552A"/>
    <w:rsid w:val="007B686F"/>
    <w:rsid w:val="007C1136"/>
    <w:rsid w:val="007C156A"/>
    <w:rsid w:val="007C2ED8"/>
    <w:rsid w:val="007C37FC"/>
    <w:rsid w:val="007C3FCE"/>
    <w:rsid w:val="007C4613"/>
    <w:rsid w:val="007C653E"/>
    <w:rsid w:val="007C7583"/>
    <w:rsid w:val="007C7B03"/>
    <w:rsid w:val="007C7C37"/>
    <w:rsid w:val="007D0DF4"/>
    <w:rsid w:val="007D1D27"/>
    <w:rsid w:val="007D36FA"/>
    <w:rsid w:val="007D3FA1"/>
    <w:rsid w:val="007D5854"/>
    <w:rsid w:val="007E0A36"/>
    <w:rsid w:val="007E183D"/>
    <w:rsid w:val="007E5076"/>
    <w:rsid w:val="007E68AE"/>
    <w:rsid w:val="007E776E"/>
    <w:rsid w:val="007F21BA"/>
    <w:rsid w:val="007F26CE"/>
    <w:rsid w:val="007F2B03"/>
    <w:rsid w:val="007F353A"/>
    <w:rsid w:val="007F4131"/>
    <w:rsid w:val="007F4529"/>
    <w:rsid w:val="007F4631"/>
    <w:rsid w:val="007F62AB"/>
    <w:rsid w:val="007F6E86"/>
    <w:rsid w:val="007F7B96"/>
    <w:rsid w:val="00800FED"/>
    <w:rsid w:val="00803BC0"/>
    <w:rsid w:val="00803CF0"/>
    <w:rsid w:val="00805884"/>
    <w:rsid w:val="00805F98"/>
    <w:rsid w:val="00806266"/>
    <w:rsid w:val="008106C4"/>
    <w:rsid w:val="008116FB"/>
    <w:rsid w:val="0081350E"/>
    <w:rsid w:val="00813A71"/>
    <w:rsid w:val="0081680A"/>
    <w:rsid w:val="00817551"/>
    <w:rsid w:val="0082005E"/>
    <w:rsid w:val="00821608"/>
    <w:rsid w:val="00821F41"/>
    <w:rsid w:val="00823E72"/>
    <w:rsid w:val="0082524B"/>
    <w:rsid w:val="00825E20"/>
    <w:rsid w:val="008263B7"/>
    <w:rsid w:val="00826B12"/>
    <w:rsid w:val="00826E91"/>
    <w:rsid w:val="00826F94"/>
    <w:rsid w:val="00833276"/>
    <w:rsid w:val="008354E0"/>
    <w:rsid w:val="00835B46"/>
    <w:rsid w:val="008429F2"/>
    <w:rsid w:val="00845099"/>
    <w:rsid w:val="0084792C"/>
    <w:rsid w:val="008502D5"/>
    <w:rsid w:val="00851958"/>
    <w:rsid w:val="00856310"/>
    <w:rsid w:val="00865853"/>
    <w:rsid w:val="00865DFC"/>
    <w:rsid w:val="008665A4"/>
    <w:rsid w:val="008674F1"/>
    <w:rsid w:val="0086794C"/>
    <w:rsid w:val="00873CD8"/>
    <w:rsid w:val="00873D94"/>
    <w:rsid w:val="00874AF1"/>
    <w:rsid w:val="008775F3"/>
    <w:rsid w:val="00882485"/>
    <w:rsid w:val="00882CE3"/>
    <w:rsid w:val="0088493B"/>
    <w:rsid w:val="008852EF"/>
    <w:rsid w:val="00891183"/>
    <w:rsid w:val="00892A78"/>
    <w:rsid w:val="00892BFA"/>
    <w:rsid w:val="00893B7F"/>
    <w:rsid w:val="00895F3E"/>
    <w:rsid w:val="00896370"/>
    <w:rsid w:val="008A46AD"/>
    <w:rsid w:val="008A4A59"/>
    <w:rsid w:val="008A5365"/>
    <w:rsid w:val="008A6BDE"/>
    <w:rsid w:val="008B07A8"/>
    <w:rsid w:val="008B1F54"/>
    <w:rsid w:val="008B2F77"/>
    <w:rsid w:val="008B4A77"/>
    <w:rsid w:val="008B557D"/>
    <w:rsid w:val="008B55FF"/>
    <w:rsid w:val="008B597F"/>
    <w:rsid w:val="008B64E2"/>
    <w:rsid w:val="008B739C"/>
    <w:rsid w:val="008C2046"/>
    <w:rsid w:val="008C3356"/>
    <w:rsid w:val="008C3CDC"/>
    <w:rsid w:val="008C482C"/>
    <w:rsid w:val="008C543E"/>
    <w:rsid w:val="008C566B"/>
    <w:rsid w:val="008C62D7"/>
    <w:rsid w:val="008C6625"/>
    <w:rsid w:val="008C715C"/>
    <w:rsid w:val="008D2502"/>
    <w:rsid w:val="008D2BCB"/>
    <w:rsid w:val="008E619A"/>
    <w:rsid w:val="008E69B7"/>
    <w:rsid w:val="008F0D28"/>
    <w:rsid w:val="008F3AC6"/>
    <w:rsid w:val="008F7DAF"/>
    <w:rsid w:val="00900241"/>
    <w:rsid w:val="00901707"/>
    <w:rsid w:val="0090394A"/>
    <w:rsid w:val="00904C41"/>
    <w:rsid w:val="00905C35"/>
    <w:rsid w:val="0090737E"/>
    <w:rsid w:val="00907A47"/>
    <w:rsid w:val="00907D1C"/>
    <w:rsid w:val="00916071"/>
    <w:rsid w:val="009230D9"/>
    <w:rsid w:val="00926C86"/>
    <w:rsid w:val="009302FE"/>
    <w:rsid w:val="009321A2"/>
    <w:rsid w:val="0093339F"/>
    <w:rsid w:val="00940989"/>
    <w:rsid w:val="00940F9D"/>
    <w:rsid w:val="00942502"/>
    <w:rsid w:val="00946223"/>
    <w:rsid w:val="0095300B"/>
    <w:rsid w:val="009532CF"/>
    <w:rsid w:val="00954EE6"/>
    <w:rsid w:val="00954F3C"/>
    <w:rsid w:val="00956887"/>
    <w:rsid w:val="00961A3B"/>
    <w:rsid w:val="00962CEB"/>
    <w:rsid w:val="00964550"/>
    <w:rsid w:val="0096494B"/>
    <w:rsid w:val="00965FD2"/>
    <w:rsid w:val="0096696D"/>
    <w:rsid w:val="00975452"/>
    <w:rsid w:val="00984F1D"/>
    <w:rsid w:val="00985309"/>
    <w:rsid w:val="00986511"/>
    <w:rsid w:val="009872EE"/>
    <w:rsid w:val="00987F0C"/>
    <w:rsid w:val="009909AE"/>
    <w:rsid w:val="0099292B"/>
    <w:rsid w:val="0099323E"/>
    <w:rsid w:val="009939D1"/>
    <w:rsid w:val="00993E31"/>
    <w:rsid w:val="00994140"/>
    <w:rsid w:val="00994476"/>
    <w:rsid w:val="00994A5B"/>
    <w:rsid w:val="00994A81"/>
    <w:rsid w:val="00994C0B"/>
    <w:rsid w:val="009A3684"/>
    <w:rsid w:val="009A3CAD"/>
    <w:rsid w:val="009A42CC"/>
    <w:rsid w:val="009A59A4"/>
    <w:rsid w:val="009A720D"/>
    <w:rsid w:val="009B11FC"/>
    <w:rsid w:val="009B5A5D"/>
    <w:rsid w:val="009C0ED8"/>
    <w:rsid w:val="009C2B32"/>
    <w:rsid w:val="009C2C78"/>
    <w:rsid w:val="009C6793"/>
    <w:rsid w:val="009C681D"/>
    <w:rsid w:val="009D1F70"/>
    <w:rsid w:val="009D3EC3"/>
    <w:rsid w:val="009D67F1"/>
    <w:rsid w:val="009E03A2"/>
    <w:rsid w:val="009E115C"/>
    <w:rsid w:val="009E316C"/>
    <w:rsid w:val="009E4513"/>
    <w:rsid w:val="009F130A"/>
    <w:rsid w:val="009F14A7"/>
    <w:rsid w:val="009F2DE1"/>
    <w:rsid w:val="009F3472"/>
    <w:rsid w:val="009F4E23"/>
    <w:rsid w:val="009F516E"/>
    <w:rsid w:val="009F7FDB"/>
    <w:rsid w:val="00A024CF"/>
    <w:rsid w:val="00A040B8"/>
    <w:rsid w:val="00A101B0"/>
    <w:rsid w:val="00A11736"/>
    <w:rsid w:val="00A11E39"/>
    <w:rsid w:val="00A13EDF"/>
    <w:rsid w:val="00A159DC"/>
    <w:rsid w:val="00A15E5B"/>
    <w:rsid w:val="00A17CB4"/>
    <w:rsid w:val="00A23A23"/>
    <w:rsid w:val="00A23FAC"/>
    <w:rsid w:val="00A24715"/>
    <w:rsid w:val="00A300F9"/>
    <w:rsid w:val="00A30246"/>
    <w:rsid w:val="00A3590F"/>
    <w:rsid w:val="00A35F40"/>
    <w:rsid w:val="00A4492C"/>
    <w:rsid w:val="00A449B8"/>
    <w:rsid w:val="00A452D0"/>
    <w:rsid w:val="00A468E6"/>
    <w:rsid w:val="00A469F9"/>
    <w:rsid w:val="00A47279"/>
    <w:rsid w:val="00A54A8D"/>
    <w:rsid w:val="00A56A52"/>
    <w:rsid w:val="00A570EB"/>
    <w:rsid w:val="00A5712B"/>
    <w:rsid w:val="00A607C0"/>
    <w:rsid w:val="00A607C7"/>
    <w:rsid w:val="00A62647"/>
    <w:rsid w:val="00A66C7E"/>
    <w:rsid w:val="00A6744F"/>
    <w:rsid w:val="00A70642"/>
    <w:rsid w:val="00A72CFB"/>
    <w:rsid w:val="00A755A0"/>
    <w:rsid w:val="00A76E47"/>
    <w:rsid w:val="00A7772A"/>
    <w:rsid w:val="00A848DA"/>
    <w:rsid w:val="00A9141E"/>
    <w:rsid w:val="00A94850"/>
    <w:rsid w:val="00A9615B"/>
    <w:rsid w:val="00AA00C0"/>
    <w:rsid w:val="00AA095F"/>
    <w:rsid w:val="00AA1BCE"/>
    <w:rsid w:val="00AA1F26"/>
    <w:rsid w:val="00AA2D28"/>
    <w:rsid w:val="00AA6580"/>
    <w:rsid w:val="00AA6761"/>
    <w:rsid w:val="00AA7E84"/>
    <w:rsid w:val="00AB0250"/>
    <w:rsid w:val="00AB063B"/>
    <w:rsid w:val="00AB1AFE"/>
    <w:rsid w:val="00AB2915"/>
    <w:rsid w:val="00AB427E"/>
    <w:rsid w:val="00AB4B1E"/>
    <w:rsid w:val="00AB572F"/>
    <w:rsid w:val="00AB7C20"/>
    <w:rsid w:val="00AB7D22"/>
    <w:rsid w:val="00AC10B8"/>
    <w:rsid w:val="00AC266F"/>
    <w:rsid w:val="00AC2D00"/>
    <w:rsid w:val="00AC366A"/>
    <w:rsid w:val="00AC434E"/>
    <w:rsid w:val="00AC4D4E"/>
    <w:rsid w:val="00AC74AD"/>
    <w:rsid w:val="00AD2FC4"/>
    <w:rsid w:val="00AD40B8"/>
    <w:rsid w:val="00AE2165"/>
    <w:rsid w:val="00AE2704"/>
    <w:rsid w:val="00AE38D5"/>
    <w:rsid w:val="00AE5936"/>
    <w:rsid w:val="00AE6DCB"/>
    <w:rsid w:val="00AF038D"/>
    <w:rsid w:val="00AF13B2"/>
    <w:rsid w:val="00AF1885"/>
    <w:rsid w:val="00AF1EDD"/>
    <w:rsid w:val="00AF3E9A"/>
    <w:rsid w:val="00AF57D1"/>
    <w:rsid w:val="00B05005"/>
    <w:rsid w:val="00B07806"/>
    <w:rsid w:val="00B07FB6"/>
    <w:rsid w:val="00B104FA"/>
    <w:rsid w:val="00B10B33"/>
    <w:rsid w:val="00B11231"/>
    <w:rsid w:val="00B118A4"/>
    <w:rsid w:val="00B13FB1"/>
    <w:rsid w:val="00B159AD"/>
    <w:rsid w:val="00B22B67"/>
    <w:rsid w:val="00B23F75"/>
    <w:rsid w:val="00B2435A"/>
    <w:rsid w:val="00B30BA5"/>
    <w:rsid w:val="00B3130E"/>
    <w:rsid w:val="00B31809"/>
    <w:rsid w:val="00B33B65"/>
    <w:rsid w:val="00B33D2C"/>
    <w:rsid w:val="00B43DBF"/>
    <w:rsid w:val="00B444B9"/>
    <w:rsid w:val="00B45E73"/>
    <w:rsid w:val="00B45EC6"/>
    <w:rsid w:val="00B46F39"/>
    <w:rsid w:val="00B54823"/>
    <w:rsid w:val="00B55742"/>
    <w:rsid w:val="00B55D2D"/>
    <w:rsid w:val="00B55E28"/>
    <w:rsid w:val="00B571AB"/>
    <w:rsid w:val="00B606BA"/>
    <w:rsid w:val="00B6123D"/>
    <w:rsid w:val="00B61598"/>
    <w:rsid w:val="00B61E0A"/>
    <w:rsid w:val="00B62041"/>
    <w:rsid w:val="00B66415"/>
    <w:rsid w:val="00B66FCA"/>
    <w:rsid w:val="00B702C7"/>
    <w:rsid w:val="00B70FA3"/>
    <w:rsid w:val="00B719B2"/>
    <w:rsid w:val="00B71A16"/>
    <w:rsid w:val="00B728F8"/>
    <w:rsid w:val="00B76803"/>
    <w:rsid w:val="00B8062B"/>
    <w:rsid w:val="00B91164"/>
    <w:rsid w:val="00B91683"/>
    <w:rsid w:val="00B9539A"/>
    <w:rsid w:val="00B968A9"/>
    <w:rsid w:val="00B969AB"/>
    <w:rsid w:val="00B96D7D"/>
    <w:rsid w:val="00BA0611"/>
    <w:rsid w:val="00BA0A98"/>
    <w:rsid w:val="00BA1F9F"/>
    <w:rsid w:val="00BA6533"/>
    <w:rsid w:val="00BA793B"/>
    <w:rsid w:val="00BB0652"/>
    <w:rsid w:val="00BB0ED5"/>
    <w:rsid w:val="00BB4043"/>
    <w:rsid w:val="00BB4B6D"/>
    <w:rsid w:val="00BB6A70"/>
    <w:rsid w:val="00BC05A9"/>
    <w:rsid w:val="00BC0602"/>
    <w:rsid w:val="00BC33AA"/>
    <w:rsid w:val="00BC6323"/>
    <w:rsid w:val="00BC7B5A"/>
    <w:rsid w:val="00BD0576"/>
    <w:rsid w:val="00BD206C"/>
    <w:rsid w:val="00BD32E3"/>
    <w:rsid w:val="00BD5BF6"/>
    <w:rsid w:val="00BE1296"/>
    <w:rsid w:val="00BE1388"/>
    <w:rsid w:val="00BE1E39"/>
    <w:rsid w:val="00BE20A0"/>
    <w:rsid w:val="00BF1420"/>
    <w:rsid w:val="00BF3A14"/>
    <w:rsid w:val="00BF5FEA"/>
    <w:rsid w:val="00BF6353"/>
    <w:rsid w:val="00BF672B"/>
    <w:rsid w:val="00C01AA5"/>
    <w:rsid w:val="00C04FDC"/>
    <w:rsid w:val="00C1411E"/>
    <w:rsid w:val="00C1498D"/>
    <w:rsid w:val="00C164C9"/>
    <w:rsid w:val="00C17492"/>
    <w:rsid w:val="00C22008"/>
    <w:rsid w:val="00C226E9"/>
    <w:rsid w:val="00C228AF"/>
    <w:rsid w:val="00C2556D"/>
    <w:rsid w:val="00C25F87"/>
    <w:rsid w:val="00C30A76"/>
    <w:rsid w:val="00C31CAC"/>
    <w:rsid w:val="00C32E1C"/>
    <w:rsid w:val="00C33533"/>
    <w:rsid w:val="00C347CC"/>
    <w:rsid w:val="00C4317E"/>
    <w:rsid w:val="00C44586"/>
    <w:rsid w:val="00C45792"/>
    <w:rsid w:val="00C45BCA"/>
    <w:rsid w:val="00C50EB8"/>
    <w:rsid w:val="00C55DAE"/>
    <w:rsid w:val="00C63A7A"/>
    <w:rsid w:val="00C67BE6"/>
    <w:rsid w:val="00C67CD3"/>
    <w:rsid w:val="00C70B2E"/>
    <w:rsid w:val="00C71EBE"/>
    <w:rsid w:val="00C72430"/>
    <w:rsid w:val="00C7386D"/>
    <w:rsid w:val="00C747F7"/>
    <w:rsid w:val="00C763D1"/>
    <w:rsid w:val="00C763E4"/>
    <w:rsid w:val="00C80298"/>
    <w:rsid w:val="00C80A32"/>
    <w:rsid w:val="00C82172"/>
    <w:rsid w:val="00C82A71"/>
    <w:rsid w:val="00C847D8"/>
    <w:rsid w:val="00C85496"/>
    <w:rsid w:val="00C86696"/>
    <w:rsid w:val="00C91D3A"/>
    <w:rsid w:val="00C91F8C"/>
    <w:rsid w:val="00C93754"/>
    <w:rsid w:val="00C9481A"/>
    <w:rsid w:val="00C95889"/>
    <w:rsid w:val="00C95B26"/>
    <w:rsid w:val="00C9631A"/>
    <w:rsid w:val="00CA0343"/>
    <w:rsid w:val="00CA08E4"/>
    <w:rsid w:val="00CA1BAB"/>
    <w:rsid w:val="00CA2A98"/>
    <w:rsid w:val="00CA59E6"/>
    <w:rsid w:val="00CA61EC"/>
    <w:rsid w:val="00CA737D"/>
    <w:rsid w:val="00CA7B09"/>
    <w:rsid w:val="00CB109A"/>
    <w:rsid w:val="00CB133D"/>
    <w:rsid w:val="00CB2B07"/>
    <w:rsid w:val="00CC23D3"/>
    <w:rsid w:val="00CC4009"/>
    <w:rsid w:val="00CC4A50"/>
    <w:rsid w:val="00CC7690"/>
    <w:rsid w:val="00CD084D"/>
    <w:rsid w:val="00CD3D18"/>
    <w:rsid w:val="00CD4BFC"/>
    <w:rsid w:val="00CD5169"/>
    <w:rsid w:val="00CD6088"/>
    <w:rsid w:val="00CE1B97"/>
    <w:rsid w:val="00CE232E"/>
    <w:rsid w:val="00CE2F5A"/>
    <w:rsid w:val="00CE3ADB"/>
    <w:rsid w:val="00CE3DD8"/>
    <w:rsid w:val="00CE4785"/>
    <w:rsid w:val="00CE625B"/>
    <w:rsid w:val="00CE64F4"/>
    <w:rsid w:val="00CE6A52"/>
    <w:rsid w:val="00CE78E9"/>
    <w:rsid w:val="00CE7C10"/>
    <w:rsid w:val="00CF06A2"/>
    <w:rsid w:val="00CF1C9F"/>
    <w:rsid w:val="00CF280E"/>
    <w:rsid w:val="00CF488C"/>
    <w:rsid w:val="00CF5175"/>
    <w:rsid w:val="00CF54D3"/>
    <w:rsid w:val="00CF5720"/>
    <w:rsid w:val="00D05139"/>
    <w:rsid w:val="00D05DD8"/>
    <w:rsid w:val="00D06F3A"/>
    <w:rsid w:val="00D1058D"/>
    <w:rsid w:val="00D117F1"/>
    <w:rsid w:val="00D12DD0"/>
    <w:rsid w:val="00D13C9B"/>
    <w:rsid w:val="00D167F1"/>
    <w:rsid w:val="00D2249D"/>
    <w:rsid w:val="00D24ACD"/>
    <w:rsid w:val="00D256E9"/>
    <w:rsid w:val="00D26C50"/>
    <w:rsid w:val="00D30FF7"/>
    <w:rsid w:val="00D31E70"/>
    <w:rsid w:val="00D34D9F"/>
    <w:rsid w:val="00D34FB8"/>
    <w:rsid w:val="00D37682"/>
    <w:rsid w:val="00D4034F"/>
    <w:rsid w:val="00D42AB7"/>
    <w:rsid w:val="00D465C2"/>
    <w:rsid w:val="00D467A4"/>
    <w:rsid w:val="00D4766D"/>
    <w:rsid w:val="00D477E7"/>
    <w:rsid w:val="00D509CC"/>
    <w:rsid w:val="00D50CCC"/>
    <w:rsid w:val="00D5139C"/>
    <w:rsid w:val="00D54A9C"/>
    <w:rsid w:val="00D55E3C"/>
    <w:rsid w:val="00D563F2"/>
    <w:rsid w:val="00D56870"/>
    <w:rsid w:val="00D57A2B"/>
    <w:rsid w:val="00D57CCB"/>
    <w:rsid w:val="00D600E2"/>
    <w:rsid w:val="00D60C84"/>
    <w:rsid w:val="00D628AC"/>
    <w:rsid w:val="00D63807"/>
    <w:rsid w:val="00D71760"/>
    <w:rsid w:val="00D726D4"/>
    <w:rsid w:val="00D72F34"/>
    <w:rsid w:val="00D73576"/>
    <w:rsid w:val="00D74B5A"/>
    <w:rsid w:val="00D75140"/>
    <w:rsid w:val="00D77556"/>
    <w:rsid w:val="00D77E10"/>
    <w:rsid w:val="00D84A1A"/>
    <w:rsid w:val="00D85CE7"/>
    <w:rsid w:val="00D92D6F"/>
    <w:rsid w:val="00D946A9"/>
    <w:rsid w:val="00D94A3A"/>
    <w:rsid w:val="00D95F0F"/>
    <w:rsid w:val="00D97A21"/>
    <w:rsid w:val="00DA1ED9"/>
    <w:rsid w:val="00DA3D92"/>
    <w:rsid w:val="00DA7F25"/>
    <w:rsid w:val="00DB0215"/>
    <w:rsid w:val="00DB47E1"/>
    <w:rsid w:val="00DC17D5"/>
    <w:rsid w:val="00DC2095"/>
    <w:rsid w:val="00DC2278"/>
    <w:rsid w:val="00DC27B1"/>
    <w:rsid w:val="00DC2EB9"/>
    <w:rsid w:val="00DC46CC"/>
    <w:rsid w:val="00DC597C"/>
    <w:rsid w:val="00DC6EBC"/>
    <w:rsid w:val="00DD1C07"/>
    <w:rsid w:val="00DD294C"/>
    <w:rsid w:val="00DD3D71"/>
    <w:rsid w:val="00DD40A3"/>
    <w:rsid w:val="00DD69D5"/>
    <w:rsid w:val="00DE0C9B"/>
    <w:rsid w:val="00DE1240"/>
    <w:rsid w:val="00DE2CA2"/>
    <w:rsid w:val="00DE55A7"/>
    <w:rsid w:val="00DE5765"/>
    <w:rsid w:val="00DE5E10"/>
    <w:rsid w:val="00DE75D4"/>
    <w:rsid w:val="00DF1F75"/>
    <w:rsid w:val="00DF23F2"/>
    <w:rsid w:val="00DF35CD"/>
    <w:rsid w:val="00DF5CFE"/>
    <w:rsid w:val="00DF7A30"/>
    <w:rsid w:val="00E01DE9"/>
    <w:rsid w:val="00E031A0"/>
    <w:rsid w:val="00E03275"/>
    <w:rsid w:val="00E05F3C"/>
    <w:rsid w:val="00E069CA"/>
    <w:rsid w:val="00E07837"/>
    <w:rsid w:val="00E07B01"/>
    <w:rsid w:val="00E1428F"/>
    <w:rsid w:val="00E21856"/>
    <w:rsid w:val="00E22929"/>
    <w:rsid w:val="00E2332F"/>
    <w:rsid w:val="00E26671"/>
    <w:rsid w:val="00E277F6"/>
    <w:rsid w:val="00E32BA9"/>
    <w:rsid w:val="00E36A38"/>
    <w:rsid w:val="00E36CDD"/>
    <w:rsid w:val="00E36D01"/>
    <w:rsid w:val="00E37184"/>
    <w:rsid w:val="00E50594"/>
    <w:rsid w:val="00E53673"/>
    <w:rsid w:val="00E54248"/>
    <w:rsid w:val="00E54911"/>
    <w:rsid w:val="00E55CF3"/>
    <w:rsid w:val="00E639FF"/>
    <w:rsid w:val="00E63D82"/>
    <w:rsid w:val="00E64905"/>
    <w:rsid w:val="00E64952"/>
    <w:rsid w:val="00E66ED0"/>
    <w:rsid w:val="00E67D54"/>
    <w:rsid w:val="00E701D7"/>
    <w:rsid w:val="00E729D4"/>
    <w:rsid w:val="00E72A4D"/>
    <w:rsid w:val="00E74A42"/>
    <w:rsid w:val="00E76BF4"/>
    <w:rsid w:val="00E77F70"/>
    <w:rsid w:val="00E807F0"/>
    <w:rsid w:val="00E81106"/>
    <w:rsid w:val="00E81F37"/>
    <w:rsid w:val="00E83D9F"/>
    <w:rsid w:val="00E83FB2"/>
    <w:rsid w:val="00E842FE"/>
    <w:rsid w:val="00E91453"/>
    <w:rsid w:val="00E93835"/>
    <w:rsid w:val="00E93FBA"/>
    <w:rsid w:val="00E95071"/>
    <w:rsid w:val="00E9662D"/>
    <w:rsid w:val="00EA2B9E"/>
    <w:rsid w:val="00EA30AA"/>
    <w:rsid w:val="00EA5FBE"/>
    <w:rsid w:val="00EB1932"/>
    <w:rsid w:val="00EB1AE1"/>
    <w:rsid w:val="00EB1B1B"/>
    <w:rsid w:val="00EB5558"/>
    <w:rsid w:val="00EC038A"/>
    <w:rsid w:val="00EC0E8F"/>
    <w:rsid w:val="00EC2774"/>
    <w:rsid w:val="00EC4028"/>
    <w:rsid w:val="00EC679D"/>
    <w:rsid w:val="00EC685D"/>
    <w:rsid w:val="00EC68AC"/>
    <w:rsid w:val="00ED1A71"/>
    <w:rsid w:val="00ED1B2A"/>
    <w:rsid w:val="00EE04CD"/>
    <w:rsid w:val="00EE2B33"/>
    <w:rsid w:val="00EE2D60"/>
    <w:rsid w:val="00EE2F5A"/>
    <w:rsid w:val="00EE35CB"/>
    <w:rsid w:val="00EE369F"/>
    <w:rsid w:val="00EE3EA9"/>
    <w:rsid w:val="00EE5F6F"/>
    <w:rsid w:val="00EF0425"/>
    <w:rsid w:val="00EF054D"/>
    <w:rsid w:val="00EF0C37"/>
    <w:rsid w:val="00EF0FF4"/>
    <w:rsid w:val="00EF146E"/>
    <w:rsid w:val="00EF324B"/>
    <w:rsid w:val="00EF4AA0"/>
    <w:rsid w:val="00EF4C80"/>
    <w:rsid w:val="00EF5ACB"/>
    <w:rsid w:val="00EF5F56"/>
    <w:rsid w:val="00EF61AF"/>
    <w:rsid w:val="00EF7A2D"/>
    <w:rsid w:val="00F014DA"/>
    <w:rsid w:val="00F0258C"/>
    <w:rsid w:val="00F04977"/>
    <w:rsid w:val="00F128CE"/>
    <w:rsid w:val="00F14562"/>
    <w:rsid w:val="00F14FDB"/>
    <w:rsid w:val="00F15EAA"/>
    <w:rsid w:val="00F17878"/>
    <w:rsid w:val="00F201F7"/>
    <w:rsid w:val="00F21F80"/>
    <w:rsid w:val="00F25AE0"/>
    <w:rsid w:val="00F30BC2"/>
    <w:rsid w:val="00F329B0"/>
    <w:rsid w:val="00F335FC"/>
    <w:rsid w:val="00F3382F"/>
    <w:rsid w:val="00F37387"/>
    <w:rsid w:val="00F41001"/>
    <w:rsid w:val="00F41837"/>
    <w:rsid w:val="00F43885"/>
    <w:rsid w:val="00F438D6"/>
    <w:rsid w:val="00F53282"/>
    <w:rsid w:val="00F546F7"/>
    <w:rsid w:val="00F547B1"/>
    <w:rsid w:val="00F56FA5"/>
    <w:rsid w:val="00F60959"/>
    <w:rsid w:val="00F653E1"/>
    <w:rsid w:val="00F71E99"/>
    <w:rsid w:val="00F73E13"/>
    <w:rsid w:val="00F741E3"/>
    <w:rsid w:val="00F74DCB"/>
    <w:rsid w:val="00F75285"/>
    <w:rsid w:val="00F76CC8"/>
    <w:rsid w:val="00F77245"/>
    <w:rsid w:val="00F80700"/>
    <w:rsid w:val="00F80BF3"/>
    <w:rsid w:val="00F82304"/>
    <w:rsid w:val="00F828AB"/>
    <w:rsid w:val="00F83E04"/>
    <w:rsid w:val="00F85DC0"/>
    <w:rsid w:val="00F87528"/>
    <w:rsid w:val="00F9312F"/>
    <w:rsid w:val="00F96528"/>
    <w:rsid w:val="00F979B2"/>
    <w:rsid w:val="00FA13CC"/>
    <w:rsid w:val="00FA1439"/>
    <w:rsid w:val="00FA1DA6"/>
    <w:rsid w:val="00FA3A85"/>
    <w:rsid w:val="00FA4FB6"/>
    <w:rsid w:val="00FA5660"/>
    <w:rsid w:val="00FB0B75"/>
    <w:rsid w:val="00FB2334"/>
    <w:rsid w:val="00FB3305"/>
    <w:rsid w:val="00FB3BCA"/>
    <w:rsid w:val="00FB3DDD"/>
    <w:rsid w:val="00FB55ED"/>
    <w:rsid w:val="00FB5774"/>
    <w:rsid w:val="00FB5785"/>
    <w:rsid w:val="00FB7A1C"/>
    <w:rsid w:val="00FC0F06"/>
    <w:rsid w:val="00FC1523"/>
    <w:rsid w:val="00FC1982"/>
    <w:rsid w:val="00FC3FBB"/>
    <w:rsid w:val="00FC44B5"/>
    <w:rsid w:val="00FC4D8A"/>
    <w:rsid w:val="00FC5ACB"/>
    <w:rsid w:val="00FC607A"/>
    <w:rsid w:val="00FD349B"/>
    <w:rsid w:val="00FD37D5"/>
    <w:rsid w:val="00FD38A7"/>
    <w:rsid w:val="00FD3D35"/>
    <w:rsid w:val="00FD4F18"/>
    <w:rsid w:val="00FD6219"/>
    <w:rsid w:val="00FD6796"/>
    <w:rsid w:val="00FD6C05"/>
    <w:rsid w:val="00FE1517"/>
    <w:rsid w:val="00FE2D6F"/>
    <w:rsid w:val="00FE4B65"/>
    <w:rsid w:val="00FE7D5E"/>
    <w:rsid w:val="00FF081C"/>
    <w:rsid w:val="00FF1140"/>
    <w:rsid w:val="00FF1A18"/>
    <w:rsid w:val="00FF2576"/>
    <w:rsid w:val="00FF5243"/>
    <w:rsid w:val="00FF7C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DD"/>
    <w:pPr>
      <w:spacing w:after="0" w:line="240" w:lineRule="auto"/>
    </w:pPr>
    <w:rPr>
      <w:rFonts w:eastAsia="Times New Roman"/>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Char3 Char Char"/>
    <w:basedOn w:val="Normal"/>
    <w:link w:val="FootnoteTextChar"/>
    <w:uiPriority w:val="99"/>
    <w:rsid w:val="00FB3DDD"/>
    <w:rPr>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FB3DDD"/>
    <w:rPr>
      <w:rFonts w:eastAsia="Times New Roman"/>
      <w:sz w:val="20"/>
      <w:szCs w:val="20"/>
      <w:lang w:val="bg-BG" w:eastAsia="bg-BG"/>
    </w:r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
    <w:uiPriority w:val="99"/>
    <w:rsid w:val="00FB3DDD"/>
    <w:rPr>
      <w:vertAlign w:val="superscript"/>
    </w:rPr>
  </w:style>
  <w:style w:type="paragraph" w:styleId="ListParagraph">
    <w:name w:val="List Paragraph"/>
    <w:basedOn w:val="Normal"/>
    <w:link w:val="ListParagraphChar"/>
    <w:uiPriority w:val="34"/>
    <w:qFormat/>
    <w:rsid w:val="00FB3DDD"/>
    <w:pPr>
      <w:ind w:left="720"/>
      <w:contextualSpacing/>
    </w:pPr>
    <w:rPr>
      <w:rFonts w:ascii="Tahoma" w:hAnsi="Tahoma" w:cs="Tahoma"/>
      <w:lang w:val="en-US"/>
    </w:rPr>
  </w:style>
  <w:style w:type="paragraph" w:styleId="BalloonText">
    <w:name w:val="Balloon Text"/>
    <w:basedOn w:val="Normal"/>
    <w:link w:val="BalloonTextChar"/>
    <w:uiPriority w:val="99"/>
    <w:semiHidden/>
    <w:unhideWhenUsed/>
    <w:rsid w:val="00FB3DDD"/>
    <w:rPr>
      <w:rFonts w:ascii="Tahoma" w:hAnsi="Tahoma" w:cs="Tahoma"/>
      <w:sz w:val="16"/>
      <w:szCs w:val="16"/>
    </w:rPr>
  </w:style>
  <w:style w:type="character" w:customStyle="1" w:styleId="BalloonTextChar">
    <w:name w:val="Balloon Text Char"/>
    <w:basedOn w:val="DefaultParagraphFont"/>
    <w:link w:val="BalloonText"/>
    <w:uiPriority w:val="99"/>
    <w:semiHidden/>
    <w:rsid w:val="00FB3DDD"/>
    <w:rPr>
      <w:rFonts w:ascii="Tahoma" w:eastAsia="Times New Roman" w:hAnsi="Tahoma" w:cs="Tahoma"/>
      <w:sz w:val="16"/>
      <w:szCs w:val="16"/>
      <w:lang w:val="bg-BG" w:eastAsia="bg-BG"/>
    </w:rPr>
  </w:style>
  <w:style w:type="paragraph" w:styleId="Header">
    <w:name w:val="header"/>
    <w:basedOn w:val="Normal"/>
    <w:link w:val="HeaderChar"/>
    <w:uiPriority w:val="99"/>
    <w:unhideWhenUsed/>
    <w:rsid w:val="00FB3DDD"/>
    <w:pPr>
      <w:tabs>
        <w:tab w:val="center" w:pos="4703"/>
        <w:tab w:val="right" w:pos="9406"/>
      </w:tabs>
    </w:pPr>
  </w:style>
  <w:style w:type="character" w:customStyle="1" w:styleId="HeaderChar">
    <w:name w:val="Header Char"/>
    <w:basedOn w:val="DefaultParagraphFont"/>
    <w:link w:val="Header"/>
    <w:uiPriority w:val="99"/>
    <w:rsid w:val="00FB3DDD"/>
    <w:rPr>
      <w:rFonts w:eastAsia="Times New Roman"/>
      <w:lang w:val="bg-BG" w:eastAsia="bg-BG"/>
    </w:rPr>
  </w:style>
  <w:style w:type="paragraph" w:styleId="Footer">
    <w:name w:val="footer"/>
    <w:basedOn w:val="Normal"/>
    <w:link w:val="FooterChar"/>
    <w:uiPriority w:val="99"/>
    <w:unhideWhenUsed/>
    <w:rsid w:val="00FB3DDD"/>
    <w:pPr>
      <w:tabs>
        <w:tab w:val="center" w:pos="4703"/>
        <w:tab w:val="right" w:pos="9406"/>
      </w:tabs>
    </w:pPr>
  </w:style>
  <w:style w:type="character" w:customStyle="1" w:styleId="FooterChar">
    <w:name w:val="Footer Char"/>
    <w:basedOn w:val="DefaultParagraphFont"/>
    <w:link w:val="Footer"/>
    <w:uiPriority w:val="99"/>
    <w:rsid w:val="00FB3DDD"/>
    <w:rPr>
      <w:rFonts w:eastAsia="Times New Roman"/>
      <w:lang w:val="bg-BG" w:eastAsia="bg-BG"/>
    </w:rPr>
  </w:style>
  <w:style w:type="paragraph" w:customStyle="1" w:styleId="CharChar1Char">
    <w:name w:val="Char Char1 Char"/>
    <w:basedOn w:val="Normal"/>
    <w:rsid w:val="00D726D4"/>
    <w:pPr>
      <w:tabs>
        <w:tab w:val="left" w:pos="709"/>
      </w:tabs>
    </w:pPr>
    <w:rPr>
      <w:rFonts w:ascii="Tahoma" w:hAnsi="Tahoma"/>
      <w:lang w:val="pl-PL" w:eastAsia="pl-PL"/>
    </w:rPr>
  </w:style>
  <w:style w:type="paragraph" w:styleId="BodyTextIndent">
    <w:name w:val="Body Text Indent"/>
    <w:basedOn w:val="Normal"/>
    <w:link w:val="BodyTextIndentChar"/>
    <w:rsid w:val="007527E9"/>
    <w:pPr>
      <w:spacing w:after="120"/>
      <w:ind w:left="283"/>
    </w:pPr>
    <w:rPr>
      <w:rFonts w:ascii="Bookman Old Style" w:eastAsia="Calibri" w:hAnsi="Bookman Old Style" w:cs="Bookman Old Style"/>
    </w:rPr>
  </w:style>
  <w:style w:type="character" w:customStyle="1" w:styleId="BodyTextIndentChar">
    <w:name w:val="Body Text Indent Char"/>
    <w:basedOn w:val="DefaultParagraphFont"/>
    <w:link w:val="BodyTextIndent"/>
    <w:rsid w:val="007527E9"/>
    <w:rPr>
      <w:rFonts w:ascii="Bookman Old Style" w:eastAsia="Calibri" w:hAnsi="Bookman Old Style" w:cs="Bookman Old Style"/>
      <w:lang w:val="bg-BG" w:eastAsia="bg-BG"/>
    </w:rPr>
  </w:style>
  <w:style w:type="paragraph" w:customStyle="1" w:styleId="ListParagraph1">
    <w:name w:val="List Paragraph1"/>
    <w:basedOn w:val="Normal"/>
    <w:uiPriority w:val="34"/>
    <w:qFormat/>
    <w:rsid w:val="005714CB"/>
    <w:pPr>
      <w:ind w:left="720"/>
    </w:pPr>
    <w:rPr>
      <w:rFonts w:ascii="Bookman Old Style" w:eastAsia="Calibri" w:hAnsi="Bookman Old Style" w:cs="Bookman Old Style"/>
    </w:rPr>
  </w:style>
  <w:style w:type="paragraph" w:customStyle="1" w:styleId="CharChar1Char12">
    <w:name w:val="Char Char1 Char12"/>
    <w:basedOn w:val="Normal"/>
    <w:rsid w:val="00B66FCA"/>
    <w:pPr>
      <w:tabs>
        <w:tab w:val="left" w:pos="709"/>
      </w:tabs>
    </w:pPr>
    <w:rPr>
      <w:rFonts w:ascii="Tahoma" w:hAnsi="Tahoma"/>
      <w:lang w:val="pl-PL" w:eastAsia="pl-PL"/>
    </w:rPr>
  </w:style>
  <w:style w:type="paragraph" w:customStyle="1" w:styleId="CharChar1Char11">
    <w:name w:val="Char Char1 Char11"/>
    <w:basedOn w:val="Normal"/>
    <w:rsid w:val="00432585"/>
    <w:pPr>
      <w:tabs>
        <w:tab w:val="left" w:pos="709"/>
      </w:tabs>
    </w:pPr>
    <w:rPr>
      <w:rFonts w:ascii="Tahoma" w:hAnsi="Tahoma"/>
      <w:lang w:val="pl-PL" w:eastAsia="pl-PL"/>
    </w:rPr>
  </w:style>
  <w:style w:type="paragraph" w:customStyle="1" w:styleId="CharChar1Char10">
    <w:name w:val="Char Char1 Char10"/>
    <w:basedOn w:val="Normal"/>
    <w:rsid w:val="00C95B26"/>
    <w:pPr>
      <w:tabs>
        <w:tab w:val="left" w:pos="709"/>
      </w:tabs>
    </w:pPr>
    <w:rPr>
      <w:rFonts w:ascii="Tahoma" w:hAnsi="Tahoma"/>
      <w:lang w:val="pl-PL" w:eastAsia="pl-PL"/>
    </w:rPr>
  </w:style>
  <w:style w:type="paragraph" w:customStyle="1" w:styleId="CharChar1Char9">
    <w:name w:val="Char Char1 Char9"/>
    <w:basedOn w:val="Normal"/>
    <w:rsid w:val="00D13C9B"/>
    <w:pPr>
      <w:tabs>
        <w:tab w:val="left" w:pos="709"/>
      </w:tabs>
    </w:pPr>
    <w:rPr>
      <w:rFonts w:ascii="Tahoma" w:hAnsi="Tahoma"/>
      <w:lang w:val="pl-PL" w:eastAsia="pl-PL"/>
    </w:rPr>
  </w:style>
  <w:style w:type="paragraph" w:customStyle="1" w:styleId="CharChar1Char8">
    <w:name w:val="Char Char1 Char8"/>
    <w:basedOn w:val="Normal"/>
    <w:rsid w:val="0062592E"/>
    <w:pPr>
      <w:tabs>
        <w:tab w:val="left" w:pos="709"/>
      </w:tabs>
    </w:pPr>
    <w:rPr>
      <w:rFonts w:ascii="Tahoma" w:hAnsi="Tahoma"/>
      <w:lang w:val="pl-PL" w:eastAsia="pl-PL"/>
    </w:rPr>
  </w:style>
  <w:style w:type="paragraph" w:customStyle="1" w:styleId="CharChar1Char7">
    <w:name w:val="Char Char1 Char7"/>
    <w:basedOn w:val="Normal"/>
    <w:rsid w:val="007B552A"/>
    <w:pPr>
      <w:tabs>
        <w:tab w:val="left" w:pos="709"/>
      </w:tabs>
    </w:pPr>
    <w:rPr>
      <w:rFonts w:ascii="Tahoma" w:hAnsi="Tahoma"/>
      <w:lang w:val="pl-PL" w:eastAsia="pl-PL"/>
    </w:rPr>
  </w:style>
  <w:style w:type="paragraph" w:styleId="BodyText">
    <w:name w:val="Body Text"/>
    <w:basedOn w:val="Normal"/>
    <w:link w:val="BodyTextChar"/>
    <w:uiPriority w:val="99"/>
    <w:unhideWhenUsed/>
    <w:rsid w:val="00CE78E9"/>
    <w:pPr>
      <w:spacing w:after="120"/>
    </w:pPr>
  </w:style>
  <w:style w:type="character" w:customStyle="1" w:styleId="BodyTextChar">
    <w:name w:val="Body Text Char"/>
    <w:basedOn w:val="DefaultParagraphFont"/>
    <w:link w:val="BodyText"/>
    <w:rsid w:val="00CE78E9"/>
    <w:rPr>
      <w:rFonts w:eastAsia="Times New Roman"/>
      <w:lang w:val="bg-BG" w:eastAsia="bg-BG"/>
    </w:rPr>
  </w:style>
  <w:style w:type="paragraph" w:customStyle="1" w:styleId="CharChar1Char6">
    <w:name w:val="Char Char1 Char6"/>
    <w:basedOn w:val="Normal"/>
    <w:rsid w:val="00CE78E9"/>
    <w:pPr>
      <w:tabs>
        <w:tab w:val="left" w:pos="709"/>
      </w:tabs>
    </w:pPr>
    <w:rPr>
      <w:rFonts w:ascii="Tahoma" w:hAnsi="Tahoma"/>
      <w:lang w:val="pl-PL" w:eastAsia="pl-PL"/>
    </w:rPr>
  </w:style>
  <w:style w:type="paragraph" w:customStyle="1" w:styleId="CharChar1Char5">
    <w:name w:val="Char Char1 Char5"/>
    <w:basedOn w:val="Normal"/>
    <w:rsid w:val="000C7185"/>
    <w:pPr>
      <w:tabs>
        <w:tab w:val="left" w:pos="709"/>
      </w:tabs>
    </w:pPr>
    <w:rPr>
      <w:rFonts w:ascii="Tahoma" w:hAnsi="Tahoma"/>
      <w:lang w:val="pl-PL" w:eastAsia="pl-PL"/>
    </w:rPr>
  </w:style>
  <w:style w:type="paragraph" w:customStyle="1" w:styleId="CharChar1Char4">
    <w:name w:val="Char Char1 Char4"/>
    <w:basedOn w:val="Normal"/>
    <w:rsid w:val="00AA1F26"/>
    <w:pPr>
      <w:tabs>
        <w:tab w:val="left" w:pos="709"/>
      </w:tabs>
    </w:pPr>
    <w:rPr>
      <w:rFonts w:ascii="Tahoma" w:hAnsi="Tahoma"/>
      <w:lang w:val="pl-PL" w:eastAsia="pl-PL"/>
    </w:rPr>
  </w:style>
  <w:style w:type="paragraph" w:customStyle="1" w:styleId="CharChar1Char3">
    <w:name w:val="Char Char1 Char3"/>
    <w:basedOn w:val="Normal"/>
    <w:rsid w:val="004F4CBD"/>
    <w:pPr>
      <w:tabs>
        <w:tab w:val="left" w:pos="709"/>
      </w:tabs>
    </w:pPr>
    <w:rPr>
      <w:rFonts w:ascii="Tahoma" w:hAnsi="Tahoma"/>
      <w:lang w:val="pl-PL" w:eastAsia="pl-PL"/>
    </w:rPr>
  </w:style>
  <w:style w:type="paragraph" w:customStyle="1" w:styleId="m">
    <w:name w:val="m"/>
    <w:basedOn w:val="Normal"/>
    <w:rsid w:val="004F4CBD"/>
    <w:pPr>
      <w:spacing w:before="100" w:beforeAutospacing="1" w:after="100" w:afterAutospacing="1"/>
    </w:pPr>
    <w:rPr>
      <w:lang w:val="en-US" w:eastAsia="en-US"/>
    </w:rPr>
  </w:style>
  <w:style w:type="character" w:customStyle="1" w:styleId="FontStyle66">
    <w:name w:val="Font Style66"/>
    <w:rsid w:val="004F4CBD"/>
    <w:rPr>
      <w:rFonts w:ascii="Times New Roman" w:hAnsi="Times New Roman" w:cs="Times New Roman"/>
      <w:sz w:val="18"/>
      <w:szCs w:val="18"/>
    </w:rPr>
  </w:style>
  <w:style w:type="paragraph" w:customStyle="1" w:styleId="Style5">
    <w:name w:val="Style5"/>
    <w:basedOn w:val="Normal"/>
    <w:rsid w:val="004F4CBD"/>
    <w:pPr>
      <w:widowControl w:val="0"/>
      <w:autoSpaceDE w:val="0"/>
      <w:autoSpaceDN w:val="0"/>
      <w:adjustRightInd w:val="0"/>
      <w:spacing w:line="264" w:lineRule="exact"/>
      <w:jc w:val="both"/>
    </w:pPr>
  </w:style>
  <w:style w:type="paragraph" w:styleId="BodyText3">
    <w:name w:val="Body Text 3"/>
    <w:basedOn w:val="Normal"/>
    <w:link w:val="BodyText3Char"/>
    <w:rsid w:val="004F4CBD"/>
    <w:pPr>
      <w:spacing w:after="120"/>
    </w:pPr>
    <w:rPr>
      <w:rFonts w:ascii="Tahoma" w:hAnsi="Tahoma" w:cs="Tahoma"/>
      <w:sz w:val="16"/>
      <w:szCs w:val="16"/>
    </w:rPr>
  </w:style>
  <w:style w:type="character" w:customStyle="1" w:styleId="BodyText3Char">
    <w:name w:val="Body Text 3 Char"/>
    <w:basedOn w:val="DefaultParagraphFont"/>
    <w:link w:val="BodyText3"/>
    <w:rsid w:val="004F4CBD"/>
    <w:rPr>
      <w:rFonts w:ascii="Tahoma" w:eastAsia="Times New Roman" w:hAnsi="Tahoma" w:cs="Tahoma"/>
      <w:sz w:val="16"/>
      <w:szCs w:val="16"/>
      <w:lang w:val="bg-BG" w:eastAsia="bg-BG"/>
    </w:rPr>
  </w:style>
  <w:style w:type="paragraph" w:styleId="NoSpacing">
    <w:name w:val="No Spacing"/>
    <w:uiPriority w:val="1"/>
    <w:qFormat/>
    <w:rsid w:val="004F4CBD"/>
    <w:pPr>
      <w:spacing w:after="0" w:line="240" w:lineRule="auto"/>
    </w:pPr>
    <w:rPr>
      <w:rFonts w:eastAsia="Times New Roman"/>
      <w:lang w:val="bg-BG" w:eastAsia="bg-BG"/>
    </w:rPr>
  </w:style>
  <w:style w:type="character" w:styleId="Hyperlink">
    <w:name w:val="Hyperlink"/>
    <w:uiPriority w:val="99"/>
    <w:unhideWhenUsed/>
    <w:rsid w:val="004F4CBD"/>
    <w:rPr>
      <w:color w:val="0000FF"/>
      <w:u w:val="single"/>
    </w:rPr>
  </w:style>
  <w:style w:type="character" w:customStyle="1" w:styleId="FontStyle116">
    <w:name w:val="Font Style116"/>
    <w:rsid w:val="004F4CBD"/>
    <w:rPr>
      <w:rFonts w:ascii="Times New Roman" w:hAnsi="Times New Roman" w:cs="Times New Roman"/>
      <w:sz w:val="20"/>
      <w:szCs w:val="20"/>
    </w:rPr>
  </w:style>
  <w:style w:type="character" w:customStyle="1" w:styleId="ala">
    <w:name w:val="al_a"/>
    <w:rsid w:val="004F4CBD"/>
  </w:style>
  <w:style w:type="character" w:styleId="Strong">
    <w:name w:val="Strong"/>
    <w:qFormat/>
    <w:rsid w:val="005D13CE"/>
    <w:rPr>
      <w:b/>
      <w:bCs/>
    </w:rPr>
  </w:style>
  <w:style w:type="paragraph" w:styleId="BodyText2">
    <w:name w:val="Body Text 2"/>
    <w:basedOn w:val="Normal"/>
    <w:link w:val="BodyText2Char"/>
    <w:uiPriority w:val="99"/>
    <w:semiHidden/>
    <w:unhideWhenUsed/>
    <w:rsid w:val="00575ED7"/>
    <w:pPr>
      <w:spacing w:after="120" w:line="480" w:lineRule="auto"/>
    </w:pPr>
  </w:style>
  <w:style w:type="character" w:customStyle="1" w:styleId="BodyText2Char">
    <w:name w:val="Body Text 2 Char"/>
    <w:basedOn w:val="DefaultParagraphFont"/>
    <w:link w:val="BodyText2"/>
    <w:uiPriority w:val="99"/>
    <w:semiHidden/>
    <w:rsid w:val="00575ED7"/>
    <w:rPr>
      <w:rFonts w:eastAsia="Times New Roman"/>
      <w:lang w:val="bg-BG" w:eastAsia="bg-BG"/>
    </w:rPr>
  </w:style>
  <w:style w:type="paragraph" w:styleId="NormalWeb">
    <w:name w:val="Normal (Web)"/>
    <w:basedOn w:val="Normal"/>
    <w:uiPriority w:val="99"/>
    <w:unhideWhenUsed/>
    <w:rsid w:val="00575ED7"/>
    <w:pPr>
      <w:spacing w:before="100" w:beforeAutospacing="1" w:after="100" w:afterAutospacing="1"/>
    </w:pPr>
  </w:style>
  <w:style w:type="paragraph" w:customStyle="1" w:styleId="CharChar1Char2">
    <w:name w:val="Char Char1 Char2"/>
    <w:basedOn w:val="Normal"/>
    <w:rsid w:val="003168C3"/>
    <w:pPr>
      <w:tabs>
        <w:tab w:val="left" w:pos="709"/>
      </w:tabs>
    </w:pPr>
    <w:rPr>
      <w:rFonts w:ascii="Tahoma" w:hAnsi="Tahoma"/>
      <w:lang w:val="pl-PL" w:eastAsia="pl-PL"/>
    </w:rPr>
  </w:style>
  <w:style w:type="paragraph" w:customStyle="1" w:styleId="CharChar1Char1">
    <w:name w:val="Char Char1 Char1"/>
    <w:basedOn w:val="Normal"/>
    <w:rsid w:val="00805F98"/>
    <w:pPr>
      <w:tabs>
        <w:tab w:val="left" w:pos="709"/>
      </w:tabs>
    </w:pPr>
    <w:rPr>
      <w:rFonts w:ascii="Tahoma" w:hAnsi="Tahoma"/>
      <w:lang w:val="pl-PL" w:eastAsia="pl-PL"/>
    </w:rPr>
  </w:style>
  <w:style w:type="character" w:styleId="CommentReference">
    <w:name w:val="annotation reference"/>
    <w:basedOn w:val="DefaultParagraphFont"/>
    <w:uiPriority w:val="99"/>
    <w:semiHidden/>
    <w:unhideWhenUsed/>
    <w:rsid w:val="00C01AA5"/>
    <w:rPr>
      <w:sz w:val="16"/>
      <w:szCs w:val="16"/>
    </w:rPr>
  </w:style>
  <w:style w:type="paragraph" w:styleId="CommentText">
    <w:name w:val="annotation text"/>
    <w:basedOn w:val="Normal"/>
    <w:link w:val="CommentTextChar"/>
    <w:uiPriority w:val="99"/>
    <w:semiHidden/>
    <w:unhideWhenUsed/>
    <w:rsid w:val="00C01AA5"/>
    <w:rPr>
      <w:sz w:val="20"/>
      <w:szCs w:val="20"/>
    </w:rPr>
  </w:style>
  <w:style w:type="character" w:customStyle="1" w:styleId="CommentTextChar">
    <w:name w:val="Comment Text Char"/>
    <w:basedOn w:val="DefaultParagraphFont"/>
    <w:link w:val="CommentText"/>
    <w:uiPriority w:val="99"/>
    <w:semiHidden/>
    <w:rsid w:val="00C01AA5"/>
    <w:rPr>
      <w:rFonts w:eastAsia="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C01AA5"/>
    <w:rPr>
      <w:b/>
      <w:bCs/>
    </w:rPr>
  </w:style>
  <w:style w:type="character" w:customStyle="1" w:styleId="CommentSubjectChar">
    <w:name w:val="Comment Subject Char"/>
    <w:basedOn w:val="CommentTextChar"/>
    <w:link w:val="CommentSubject"/>
    <w:uiPriority w:val="99"/>
    <w:semiHidden/>
    <w:rsid w:val="00C01AA5"/>
    <w:rPr>
      <w:rFonts w:eastAsia="Times New Roman"/>
      <w:b/>
      <w:bCs/>
      <w:sz w:val="20"/>
      <w:szCs w:val="20"/>
      <w:lang w:val="bg-BG" w:eastAsia="bg-BG"/>
    </w:rPr>
  </w:style>
  <w:style w:type="paragraph" w:customStyle="1" w:styleId="Default">
    <w:name w:val="Default"/>
    <w:rsid w:val="00055C50"/>
    <w:pPr>
      <w:autoSpaceDE w:val="0"/>
      <w:autoSpaceDN w:val="0"/>
      <w:adjustRightInd w:val="0"/>
      <w:spacing w:after="0" w:line="240" w:lineRule="auto"/>
    </w:pPr>
    <w:rPr>
      <w:color w:val="000000"/>
      <w:lang w:val="bg-BG"/>
    </w:rPr>
  </w:style>
  <w:style w:type="character" w:customStyle="1" w:styleId="ListParagraphChar">
    <w:name w:val="List Paragraph Char"/>
    <w:link w:val="ListParagraph"/>
    <w:uiPriority w:val="99"/>
    <w:locked/>
    <w:rsid w:val="00033376"/>
    <w:rPr>
      <w:rFonts w:ascii="Tahoma" w:eastAsia="Times New Roman" w:hAnsi="Tahoma" w:cs="Tahoma"/>
      <w:lang w:eastAsia="bg-BG"/>
    </w:rPr>
  </w:style>
  <w:style w:type="character" w:customStyle="1" w:styleId="FootnoteTextChar7">
    <w:name w:val="Footnote Text Char7"/>
    <w:aliases w:val="Footnote Text Char1 Char1,Footnote Text Char2 Char1,Footnote Text Char11 Char1,Footnote Text Char3 Char1,Footnote Text Char4 Char1,Footnote Text Char5 Char1,Footnote Text Char6 Char1,Footnote Text Char12 Char1,Footnote New Char"/>
    <w:basedOn w:val="DefaultParagraphFont"/>
    <w:uiPriority w:val="99"/>
    <w:semiHidden/>
    <w:rsid w:val="001320B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DD"/>
    <w:pPr>
      <w:spacing w:after="0" w:line="240" w:lineRule="auto"/>
    </w:pPr>
    <w:rPr>
      <w:rFonts w:eastAsia="Times New Roman"/>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Char3 Char Char"/>
    <w:basedOn w:val="Normal"/>
    <w:link w:val="FootnoteTextChar"/>
    <w:uiPriority w:val="99"/>
    <w:rsid w:val="00FB3DDD"/>
    <w:rPr>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FB3DDD"/>
    <w:rPr>
      <w:rFonts w:eastAsia="Times New Roman"/>
      <w:sz w:val="20"/>
      <w:szCs w:val="20"/>
      <w:lang w:val="bg-BG" w:eastAsia="bg-BG"/>
    </w:r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
    <w:uiPriority w:val="99"/>
    <w:rsid w:val="00FB3DDD"/>
    <w:rPr>
      <w:vertAlign w:val="superscript"/>
    </w:rPr>
  </w:style>
  <w:style w:type="paragraph" w:styleId="ListParagraph">
    <w:name w:val="List Paragraph"/>
    <w:basedOn w:val="Normal"/>
    <w:link w:val="ListParagraphChar"/>
    <w:uiPriority w:val="34"/>
    <w:qFormat/>
    <w:rsid w:val="00FB3DDD"/>
    <w:pPr>
      <w:ind w:left="720"/>
      <w:contextualSpacing/>
    </w:pPr>
    <w:rPr>
      <w:rFonts w:ascii="Tahoma" w:hAnsi="Tahoma" w:cs="Tahoma"/>
      <w:lang w:val="en-US"/>
    </w:rPr>
  </w:style>
  <w:style w:type="paragraph" w:styleId="BalloonText">
    <w:name w:val="Balloon Text"/>
    <w:basedOn w:val="Normal"/>
    <w:link w:val="BalloonTextChar"/>
    <w:uiPriority w:val="99"/>
    <w:semiHidden/>
    <w:unhideWhenUsed/>
    <w:rsid w:val="00FB3DDD"/>
    <w:rPr>
      <w:rFonts w:ascii="Tahoma" w:hAnsi="Tahoma" w:cs="Tahoma"/>
      <w:sz w:val="16"/>
      <w:szCs w:val="16"/>
    </w:rPr>
  </w:style>
  <w:style w:type="character" w:customStyle="1" w:styleId="BalloonTextChar">
    <w:name w:val="Balloon Text Char"/>
    <w:basedOn w:val="DefaultParagraphFont"/>
    <w:link w:val="BalloonText"/>
    <w:uiPriority w:val="99"/>
    <w:semiHidden/>
    <w:rsid w:val="00FB3DDD"/>
    <w:rPr>
      <w:rFonts w:ascii="Tahoma" w:eastAsia="Times New Roman" w:hAnsi="Tahoma" w:cs="Tahoma"/>
      <w:sz w:val="16"/>
      <w:szCs w:val="16"/>
      <w:lang w:val="bg-BG" w:eastAsia="bg-BG"/>
    </w:rPr>
  </w:style>
  <w:style w:type="paragraph" w:styleId="Header">
    <w:name w:val="header"/>
    <w:basedOn w:val="Normal"/>
    <w:link w:val="HeaderChar"/>
    <w:uiPriority w:val="99"/>
    <w:unhideWhenUsed/>
    <w:rsid w:val="00FB3DDD"/>
    <w:pPr>
      <w:tabs>
        <w:tab w:val="center" w:pos="4703"/>
        <w:tab w:val="right" w:pos="9406"/>
      </w:tabs>
    </w:pPr>
  </w:style>
  <w:style w:type="character" w:customStyle="1" w:styleId="HeaderChar">
    <w:name w:val="Header Char"/>
    <w:basedOn w:val="DefaultParagraphFont"/>
    <w:link w:val="Header"/>
    <w:uiPriority w:val="99"/>
    <w:rsid w:val="00FB3DDD"/>
    <w:rPr>
      <w:rFonts w:eastAsia="Times New Roman"/>
      <w:lang w:val="bg-BG" w:eastAsia="bg-BG"/>
    </w:rPr>
  </w:style>
  <w:style w:type="paragraph" w:styleId="Footer">
    <w:name w:val="footer"/>
    <w:basedOn w:val="Normal"/>
    <w:link w:val="FooterChar"/>
    <w:uiPriority w:val="99"/>
    <w:unhideWhenUsed/>
    <w:rsid w:val="00FB3DDD"/>
    <w:pPr>
      <w:tabs>
        <w:tab w:val="center" w:pos="4703"/>
        <w:tab w:val="right" w:pos="9406"/>
      </w:tabs>
    </w:pPr>
  </w:style>
  <w:style w:type="character" w:customStyle="1" w:styleId="FooterChar">
    <w:name w:val="Footer Char"/>
    <w:basedOn w:val="DefaultParagraphFont"/>
    <w:link w:val="Footer"/>
    <w:uiPriority w:val="99"/>
    <w:rsid w:val="00FB3DDD"/>
    <w:rPr>
      <w:rFonts w:eastAsia="Times New Roman"/>
      <w:lang w:val="bg-BG" w:eastAsia="bg-BG"/>
    </w:rPr>
  </w:style>
  <w:style w:type="paragraph" w:customStyle="1" w:styleId="CharChar1Char">
    <w:name w:val="Char Char1 Char"/>
    <w:basedOn w:val="Normal"/>
    <w:rsid w:val="00D726D4"/>
    <w:pPr>
      <w:tabs>
        <w:tab w:val="left" w:pos="709"/>
      </w:tabs>
    </w:pPr>
    <w:rPr>
      <w:rFonts w:ascii="Tahoma" w:hAnsi="Tahoma"/>
      <w:lang w:val="pl-PL" w:eastAsia="pl-PL"/>
    </w:rPr>
  </w:style>
  <w:style w:type="paragraph" w:styleId="BodyTextIndent">
    <w:name w:val="Body Text Indent"/>
    <w:basedOn w:val="Normal"/>
    <w:link w:val="BodyTextIndentChar"/>
    <w:rsid w:val="007527E9"/>
    <w:pPr>
      <w:spacing w:after="120"/>
      <w:ind w:left="283"/>
    </w:pPr>
    <w:rPr>
      <w:rFonts w:ascii="Bookman Old Style" w:eastAsia="Calibri" w:hAnsi="Bookman Old Style" w:cs="Bookman Old Style"/>
    </w:rPr>
  </w:style>
  <w:style w:type="character" w:customStyle="1" w:styleId="BodyTextIndentChar">
    <w:name w:val="Body Text Indent Char"/>
    <w:basedOn w:val="DefaultParagraphFont"/>
    <w:link w:val="BodyTextIndent"/>
    <w:rsid w:val="007527E9"/>
    <w:rPr>
      <w:rFonts w:ascii="Bookman Old Style" w:eastAsia="Calibri" w:hAnsi="Bookman Old Style" w:cs="Bookman Old Style"/>
      <w:lang w:val="bg-BG" w:eastAsia="bg-BG"/>
    </w:rPr>
  </w:style>
  <w:style w:type="paragraph" w:customStyle="1" w:styleId="ListParagraph1">
    <w:name w:val="List Paragraph1"/>
    <w:basedOn w:val="Normal"/>
    <w:uiPriority w:val="34"/>
    <w:qFormat/>
    <w:rsid w:val="005714CB"/>
    <w:pPr>
      <w:ind w:left="720"/>
    </w:pPr>
    <w:rPr>
      <w:rFonts w:ascii="Bookman Old Style" w:eastAsia="Calibri" w:hAnsi="Bookman Old Style" w:cs="Bookman Old Style"/>
    </w:rPr>
  </w:style>
  <w:style w:type="paragraph" w:customStyle="1" w:styleId="CharChar1Char12">
    <w:name w:val="Char Char1 Char12"/>
    <w:basedOn w:val="Normal"/>
    <w:rsid w:val="00B66FCA"/>
    <w:pPr>
      <w:tabs>
        <w:tab w:val="left" w:pos="709"/>
      </w:tabs>
    </w:pPr>
    <w:rPr>
      <w:rFonts w:ascii="Tahoma" w:hAnsi="Tahoma"/>
      <w:lang w:val="pl-PL" w:eastAsia="pl-PL"/>
    </w:rPr>
  </w:style>
  <w:style w:type="paragraph" w:customStyle="1" w:styleId="CharChar1Char11">
    <w:name w:val="Char Char1 Char11"/>
    <w:basedOn w:val="Normal"/>
    <w:rsid w:val="00432585"/>
    <w:pPr>
      <w:tabs>
        <w:tab w:val="left" w:pos="709"/>
      </w:tabs>
    </w:pPr>
    <w:rPr>
      <w:rFonts w:ascii="Tahoma" w:hAnsi="Tahoma"/>
      <w:lang w:val="pl-PL" w:eastAsia="pl-PL"/>
    </w:rPr>
  </w:style>
  <w:style w:type="paragraph" w:customStyle="1" w:styleId="CharChar1Char10">
    <w:name w:val="Char Char1 Char10"/>
    <w:basedOn w:val="Normal"/>
    <w:rsid w:val="00C95B26"/>
    <w:pPr>
      <w:tabs>
        <w:tab w:val="left" w:pos="709"/>
      </w:tabs>
    </w:pPr>
    <w:rPr>
      <w:rFonts w:ascii="Tahoma" w:hAnsi="Tahoma"/>
      <w:lang w:val="pl-PL" w:eastAsia="pl-PL"/>
    </w:rPr>
  </w:style>
  <w:style w:type="paragraph" w:customStyle="1" w:styleId="CharChar1Char9">
    <w:name w:val="Char Char1 Char9"/>
    <w:basedOn w:val="Normal"/>
    <w:rsid w:val="00D13C9B"/>
    <w:pPr>
      <w:tabs>
        <w:tab w:val="left" w:pos="709"/>
      </w:tabs>
    </w:pPr>
    <w:rPr>
      <w:rFonts w:ascii="Tahoma" w:hAnsi="Tahoma"/>
      <w:lang w:val="pl-PL" w:eastAsia="pl-PL"/>
    </w:rPr>
  </w:style>
  <w:style w:type="paragraph" w:customStyle="1" w:styleId="CharChar1Char8">
    <w:name w:val="Char Char1 Char8"/>
    <w:basedOn w:val="Normal"/>
    <w:rsid w:val="0062592E"/>
    <w:pPr>
      <w:tabs>
        <w:tab w:val="left" w:pos="709"/>
      </w:tabs>
    </w:pPr>
    <w:rPr>
      <w:rFonts w:ascii="Tahoma" w:hAnsi="Tahoma"/>
      <w:lang w:val="pl-PL" w:eastAsia="pl-PL"/>
    </w:rPr>
  </w:style>
  <w:style w:type="paragraph" w:customStyle="1" w:styleId="CharChar1Char7">
    <w:name w:val="Char Char1 Char7"/>
    <w:basedOn w:val="Normal"/>
    <w:rsid w:val="007B552A"/>
    <w:pPr>
      <w:tabs>
        <w:tab w:val="left" w:pos="709"/>
      </w:tabs>
    </w:pPr>
    <w:rPr>
      <w:rFonts w:ascii="Tahoma" w:hAnsi="Tahoma"/>
      <w:lang w:val="pl-PL" w:eastAsia="pl-PL"/>
    </w:rPr>
  </w:style>
  <w:style w:type="paragraph" w:styleId="BodyText">
    <w:name w:val="Body Text"/>
    <w:basedOn w:val="Normal"/>
    <w:link w:val="BodyTextChar"/>
    <w:uiPriority w:val="99"/>
    <w:unhideWhenUsed/>
    <w:rsid w:val="00CE78E9"/>
    <w:pPr>
      <w:spacing w:after="120"/>
    </w:pPr>
  </w:style>
  <w:style w:type="character" w:customStyle="1" w:styleId="BodyTextChar">
    <w:name w:val="Body Text Char"/>
    <w:basedOn w:val="DefaultParagraphFont"/>
    <w:link w:val="BodyText"/>
    <w:rsid w:val="00CE78E9"/>
    <w:rPr>
      <w:rFonts w:eastAsia="Times New Roman"/>
      <w:lang w:val="bg-BG" w:eastAsia="bg-BG"/>
    </w:rPr>
  </w:style>
  <w:style w:type="paragraph" w:customStyle="1" w:styleId="CharChar1Char6">
    <w:name w:val="Char Char1 Char6"/>
    <w:basedOn w:val="Normal"/>
    <w:rsid w:val="00CE78E9"/>
    <w:pPr>
      <w:tabs>
        <w:tab w:val="left" w:pos="709"/>
      </w:tabs>
    </w:pPr>
    <w:rPr>
      <w:rFonts w:ascii="Tahoma" w:hAnsi="Tahoma"/>
      <w:lang w:val="pl-PL" w:eastAsia="pl-PL"/>
    </w:rPr>
  </w:style>
  <w:style w:type="paragraph" w:customStyle="1" w:styleId="CharChar1Char5">
    <w:name w:val="Char Char1 Char5"/>
    <w:basedOn w:val="Normal"/>
    <w:rsid w:val="000C7185"/>
    <w:pPr>
      <w:tabs>
        <w:tab w:val="left" w:pos="709"/>
      </w:tabs>
    </w:pPr>
    <w:rPr>
      <w:rFonts w:ascii="Tahoma" w:hAnsi="Tahoma"/>
      <w:lang w:val="pl-PL" w:eastAsia="pl-PL"/>
    </w:rPr>
  </w:style>
  <w:style w:type="paragraph" w:customStyle="1" w:styleId="CharChar1Char4">
    <w:name w:val="Char Char1 Char4"/>
    <w:basedOn w:val="Normal"/>
    <w:rsid w:val="00AA1F26"/>
    <w:pPr>
      <w:tabs>
        <w:tab w:val="left" w:pos="709"/>
      </w:tabs>
    </w:pPr>
    <w:rPr>
      <w:rFonts w:ascii="Tahoma" w:hAnsi="Tahoma"/>
      <w:lang w:val="pl-PL" w:eastAsia="pl-PL"/>
    </w:rPr>
  </w:style>
  <w:style w:type="paragraph" w:customStyle="1" w:styleId="CharChar1Char3">
    <w:name w:val="Char Char1 Char3"/>
    <w:basedOn w:val="Normal"/>
    <w:rsid w:val="004F4CBD"/>
    <w:pPr>
      <w:tabs>
        <w:tab w:val="left" w:pos="709"/>
      </w:tabs>
    </w:pPr>
    <w:rPr>
      <w:rFonts w:ascii="Tahoma" w:hAnsi="Tahoma"/>
      <w:lang w:val="pl-PL" w:eastAsia="pl-PL"/>
    </w:rPr>
  </w:style>
  <w:style w:type="paragraph" w:customStyle="1" w:styleId="m">
    <w:name w:val="m"/>
    <w:basedOn w:val="Normal"/>
    <w:rsid w:val="004F4CBD"/>
    <w:pPr>
      <w:spacing w:before="100" w:beforeAutospacing="1" w:after="100" w:afterAutospacing="1"/>
    </w:pPr>
    <w:rPr>
      <w:lang w:val="en-US" w:eastAsia="en-US"/>
    </w:rPr>
  </w:style>
  <w:style w:type="character" w:customStyle="1" w:styleId="FontStyle66">
    <w:name w:val="Font Style66"/>
    <w:rsid w:val="004F4CBD"/>
    <w:rPr>
      <w:rFonts w:ascii="Times New Roman" w:hAnsi="Times New Roman" w:cs="Times New Roman"/>
      <w:sz w:val="18"/>
      <w:szCs w:val="18"/>
    </w:rPr>
  </w:style>
  <w:style w:type="paragraph" w:customStyle="1" w:styleId="Style5">
    <w:name w:val="Style5"/>
    <w:basedOn w:val="Normal"/>
    <w:rsid w:val="004F4CBD"/>
    <w:pPr>
      <w:widowControl w:val="0"/>
      <w:autoSpaceDE w:val="0"/>
      <w:autoSpaceDN w:val="0"/>
      <w:adjustRightInd w:val="0"/>
      <w:spacing w:line="264" w:lineRule="exact"/>
      <w:jc w:val="both"/>
    </w:pPr>
  </w:style>
  <w:style w:type="paragraph" w:styleId="BodyText3">
    <w:name w:val="Body Text 3"/>
    <w:basedOn w:val="Normal"/>
    <w:link w:val="BodyText3Char"/>
    <w:rsid w:val="004F4CBD"/>
    <w:pPr>
      <w:spacing w:after="120"/>
    </w:pPr>
    <w:rPr>
      <w:rFonts w:ascii="Tahoma" w:hAnsi="Tahoma" w:cs="Tahoma"/>
      <w:sz w:val="16"/>
      <w:szCs w:val="16"/>
    </w:rPr>
  </w:style>
  <w:style w:type="character" w:customStyle="1" w:styleId="BodyText3Char">
    <w:name w:val="Body Text 3 Char"/>
    <w:basedOn w:val="DefaultParagraphFont"/>
    <w:link w:val="BodyText3"/>
    <w:rsid w:val="004F4CBD"/>
    <w:rPr>
      <w:rFonts w:ascii="Tahoma" w:eastAsia="Times New Roman" w:hAnsi="Tahoma" w:cs="Tahoma"/>
      <w:sz w:val="16"/>
      <w:szCs w:val="16"/>
      <w:lang w:val="bg-BG" w:eastAsia="bg-BG"/>
    </w:rPr>
  </w:style>
  <w:style w:type="paragraph" w:styleId="NoSpacing">
    <w:name w:val="No Spacing"/>
    <w:uiPriority w:val="1"/>
    <w:qFormat/>
    <w:rsid w:val="004F4CBD"/>
    <w:pPr>
      <w:spacing w:after="0" w:line="240" w:lineRule="auto"/>
    </w:pPr>
    <w:rPr>
      <w:rFonts w:eastAsia="Times New Roman"/>
      <w:lang w:val="bg-BG" w:eastAsia="bg-BG"/>
    </w:rPr>
  </w:style>
  <w:style w:type="character" w:styleId="Hyperlink">
    <w:name w:val="Hyperlink"/>
    <w:uiPriority w:val="99"/>
    <w:unhideWhenUsed/>
    <w:rsid w:val="004F4CBD"/>
    <w:rPr>
      <w:color w:val="0000FF"/>
      <w:u w:val="single"/>
    </w:rPr>
  </w:style>
  <w:style w:type="character" w:customStyle="1" w:styleId="FontStyle116">
    <w:name w:val="Font Style116"/>
    <w:rsid w:val="004F4CBD"/>
    <w:rPr>
      <w:rFonts w:ascii="Times New Roman" w:hAnsi="Times New Roman" w:cs="Times New Roman"/>
      <w:sz w:val="20"/>
      <w:szCs w:val="20"/>
    </w:rPr>
  </w:style>
  <w:style w:type="character" w:customStyle="1" w:styleId="ala">
    <w:name w:val="al_a"/>
    <w:rsid w:val="004F4CBD"/>
  </w:style>
  <w:style w:type="character" w:styleId="Strong">
    <w:name w:val="Strong"/>
    <w:qFormat/>
    <w:rsid w:val="005D13CE"/>
    <w:rPr>
      <w:b/>
      <w:bCs/>
    </w:rPr>
  </w:style>
  <w:style w:type="paragraph" w:styleId="BodyText2">
    <w:name w:val="Body Text 2"/>
    <w:basedOn w:val="Normal"/>
    <w:link w:val="BodyText2Char"/>
    <w:uiPriority w:val="99"/>
    <w:semiHidden/>
    <w:unhideWhenUsed/>
    <w:rsid w:val="00575ED7"/>
    <w:pPr>
      <w:spacing w:after="120" w:line="480" w:lineRule="auto"/>
    </w:pPr>
  </w:style>
  <w:style w:type="character" w:customStyle="1" w:styleId="BodyText2Char">
    <w:name w:val="Body Text 2 Char"/>
    <w:basedOn w:val="DefaultParagraphFont"/>
    <w:link w:val="BodyText2"/>
    <w:uiPriority w:val="99"/>
    <w:semiHidden/>
    <w:rsid w:val="00575ED7"/>
    <w:rPr>
      <w:rFonts w:eastAsia="Times New Roman"/>
      <w:lang w:val="bg-BG" w:eastAsia="bg-BG"/>
    </w:rPr>
  </w:style>
  <w:style w:type="paragraph" w:styleId="NormalWeb">
    <w:name w:val="Normal (Web)"/>
    <w:basedOn w:val="Normal"/>
    <w:uiPriority w:val="99"/>
    <w:unhideWhenUsed/>
    <w:rsid w:val="00575ED7"/>
    <w:pPr>
      <w:spacing w:before="100" w:beforeAutospacing="1" w:after="100" w:afterAutospacing="1"/>
    </w:pPr>
  </w:style>
  <w:style w:type="paragraph" w:customStyle="1" w:styleId="CharChar1Char2">
    <w:name w:val="Char Char1 Char2"/>
    <w:basedOn w:val="Normal"/>
    <w:rsid w:val="003168C3"/>
    <w:pPr>
      <w:tabs>
        <w:tab w:val="left" w:pos="709"/>
      </w:tabs>
    </w:pPr>
    <w:rPr>
      <w:rFonts w:ascii="Tahoma" w:hAnsi="Tahoma"/>
      <w:lang w:val="pl-PL" w:eastAsia="pl-PL"/>
    </w:rPr>
  </w:style>
  <w:style w:type="paragraph" w:customStyle="1" w:styleId="CharChar1Char1">
    <w:name w:val="Char Char1 Char1"/>
    <w:basedOn w:val="Normal"/>
    <w:rsid w:val="00805F98"/>
    <w:pPr>
      <w:tabs>
        <w:tab w:val="left" w:pos="709"/>
      </w:tabs>
    </w:pPr>
    <w:rPr>
      <w:rFonts w:ascii="Tahoma" w:hAnsi="Tahoma"/>
      <w:lang w:val="pl-PL" w:eastAsia="pl-PL"/>
    </w:rPr>
  </w:style>
  <w:style w:type="character" w:styleId="CommentReference">
    <w:name w:val="annotation reference"/>
    <w:basedOn w:val="DefaultParagraphFont"/>
    <w:uiPriority w:val="99"/>
    <w:semiHidden/>
    <w:unhideWhenUsed/>
    <w:rsid w:val="00C01AA5"/>
    <w:rPr>
      <w:sz w:val="16"/>
      <w:szCs w:val="16"/>
    </w:rPr>
  </w:style>
  <w:style w:type="paragraph" w:styleId="CommentText">
    <w:name w:val="annotation text"/>
    <w:basedOn w:val="Normal"/>
    <w:link w:val="CommentTextChar"/>
    <w:uiPriority w:val="99"/>
    <w:semiHidden/>
    <w:unhideWhenUsed/>
    <w:rsid w:val="00C01AA5"/>
    <w:rPr>
      <w:sz w:val="20"/>
      <w:szCs w:val="20"/>
    </w:rPr>
  </w:style>
  <w:style w:type="character" w:customStyle="1" w:styleId="CommentTextChar">
    <w:name w:val="Comment Text Char"/>
    <w:basedOn w:val="DefaultParagraphFont"/>
    <w:link w:val="CommentText"/>
    <w:uiPriority w:val="99"/>
    <w:semiHidden/>
    <w:rsid w:val="00C01AA5"/>
    <w:rPr>
      <w:rFonts w:eastAsia="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C01AA5"/>
    <w:rPr>
      <w:b/>
      <w:bCs/>
    </w:rPr>
  </w:style>
  <w:style w:type="character" w:customStyle="1" w:styleId="CommentSubjectChar">
    <w:name w:val="Comment Subject Char"/>
    <w:basedOn w:val="CommentTextChar"/>
    <w:link w:val="CommentSubject"/>
    <w:uiPriority w:val="99"/>
    <w:semiHidden/>
    <w:rsid w:val="00C01AA5"/>
    <w:rPr>
      <w:rFonts w:eastAsia="Times New Roman"/>
      <w:b/>
      <w:bCs/>
      <w:sz w:val="20"/>
      <w:szCs w:val="20"/>
      <w:lang w:val="bg-BG" w:eastAsia="bg-BG"/>
    </w:rPr>
  </w:style>
  <w:style w:type="paragraph" w:customStyle="1" w:styleId="Default">
    <w:name w:val="Default"/>
    <w:rsid w:val="00055C50"/>
    <w:pPr>
      <w:autoSpaceDE w:val="0"/>
      <w:autoSpaceDN w:val="0"/>
      <w:adjustRightInd w:val="0"/>
      <w:spacing w:after="0" w:line="240" w:lineRule="auto"/>
    </w:pPr>
    <w:rPr>
      <w:color w:val="000000"/>
      <w:lang w:val="bg-BG"/>
    </w:rPr>
  </w:style>
  <w:style w:type="character" w:customStyle="1" w:styleId="ListParagraphChar">
    <w:name w:val="List Paragraph Char"/>
    <w:link w:val="ListParagraph"/>
    <w:uiPriority w:val="99"/>
    <w:locked/>
    <w:rsid w:val="00033376"/>
    <w:rPr>
      <w:rFonts w:ascii="Tahoma" w:eastAsia="Times New Roman" w:hAnsi="Tahoma" w:cs="Tahoma"/>
      <w:lang w:eastAsia="bg-BG"/>
    </w:rPr>
  </w:style>
  <w:style w:type="character" w:customStyle="1" w:styleId="FootnoteTextChar7">
    <w:name w:val="Footnote Text Char7"/>
    <w:aliases w:val="Footnote Text Char1 Char1,Footnote Text Char2 Char1,Footnote Text Char11 Char1,Footnote Text Char3 Char1,Footnote Text Char4 Char1,Footnote Text Char5 Char1,Footnote Text Char6 Char1,Footnote Text Char12 Char1,Footnote New Char"/>
    <w:basedOn w:val="DefaultParagraphFont"/>
    <w:uiPriority w:val="99"/>
    <w:semiHidden/>
    <w:rsid w:val="001320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eb.apis.bg/p.php?i=1622368" TargetMode="External"/><Relationship Id="rId2" Type="http://schemas.openxmlformats.org/officeDocument/2006/relationships/hyperlink" Target="http://web.apis.bg/p.php?i=370148" TargetMode="External"/><Relationship Id="rId1" Type="http://schemas.openxmlformats.org/officeDocument/2006/relationships/hyperlink" Target="http://web.apis.bg/p.php?i=363325" TargetMode="External"/><Relationship Id="rId4" Type="http://schemas.openxmlformats.org/officeDocument/2006/relationships/hyperlink" Target="http://web.apis.bg/p.php?i=1796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B48DD-F4E6-41CB-BDAE-3E750C99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25523</Words>
  <Characters>145484</Characters>
  <Application>Microsoft Office Word</Application>
  <DocSecurity>0</DocSecurity>
  <Lines>1212</Lines>
  <Paragraphs>341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NAO</Company>
  <LinksUpToDate>false</LinksUpToDate>
  <CharactersWithSpaces>170666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2015-10-23T11:16:00Z</cp:lastPrinted>
  <dcterms:created xsi:type="dcterms:W3CDTF">2015-11-25T08:59:00Z</dcterms:created>
  <dcterms:modified xsi:type="dcterms:W3CDTF">2015-11-25T08:59:00Z</dcterms:modified>
</cp:coreProperties>
</file>