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53" w:rsidRDefault="00921D53">
      <w:pPr>
        <w:pStyle w:val="Title"/>
      </w:pPr>
      <w:r>
        <w:t>РЕПУБЛИКА БЪЛГАРИЯ</w:t>
      </w:r>
    </w:p>
    <w:p w:rsidR="00921D53" w:rsidRDefault="00921D53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>
        <w:rPr>
          <w:b/>
          <w:bCs/>
        </w:rPr>
        <w:t>С М Е Т Н А  П А Л А Т А</w:t>
      </w:r>
    </w:p>
    <w:p w:rsidR="00921D53" w:rsidRDefault="00921D53">
      <w:pPr>
        <w:jc w:val="center"/>
        <w:rPr>
          <w:b/>
          <w:bCs/>
          <w:sz w:val="28"/>
          <w:szCs w:val="28"/>
          <w:lang w:val="en-US"/>
        </w:rPr>
      </w:pPr>
    </w:p>
    <w:p w:rsidR="00921D53" w:rsidRDefault="00921D53">
      <w:pPr>
        <w:jc w:val="center"/>
        <w:rPr>
          <w:b/>
          <w:bCs/>
          <w:sz w:val="28"/>
          <w:szCs w:val="28"/>
          <w:lang w:val="en-US"/>
        </w:rPr>
      </w:pPr>
    </w:p>
    <w:p w:rsidR="00921D53" w:rsidRDefault="00921D53">
      <w:pPr>
        <w:jc w:val="center"/>
        <w:rPr>
          <w:b/>
          <w:bCs/>
          <w:sz w:val="28"/>
          <w:szCs w:val="28"/>
          <w:lang w:val="en-US"/>
        </w:rPr>
      </w:pPr>
    </w:p>
    <w:p w:rsidR="00921D53" w:rsidRDefault="00921D53">
      <w:pPr>
        <w:jc w:val="center"/>
        <w:rPr>
          <w:b/>
          <w:bCs/>
          <w:color w:val="000000"/>
          <w:spacing w:val="-5"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Правила</w:t>
      </w:r>
      <w:r>
        <w:rPr>
          <w:b/>
          <w:bCs/>
          <w:color w:val="000000"/>
          <w:spacing w:val="-5"/>
          <w:sz w:val="28"/>
          <w:szCs w:val="28"/>
        </w:rPr>
        <w:t xml:space="preserve"> за формиране и изразходване на средствата от </w:t>
      </w:r>
    </w:p>
    <w:p w:rsidR="00921D53" w:rsidRDefault="00921D53">
      <w:pPr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специалния фонд за здравно и </w:t>
      </w:r>
      <w:r>
        <w:rPr>
          <w:b/>
          <w:bCs/>
          <w:color w:val="000000"/>
          <w:spacing w:val="-4"/>
          <w:sz w:val="28"/>
          <w:szCs w:val="28"/>
        </w:rPr>
        <w:t>социално подпомагане на персонала на Сметната палата</w:t>
      </w:r>
    </w:p>
    <w:p w:rsidR="00921D53" w:rsidRDefault="00921D53">
      <w:pPr>
        <w:jc w:val="center"/>
        <w:rPr>
          <w:b/>
          <w:bCs/>
          <w:color w:val="000000"/>
          <w:spacing w:val="-4"/>
          <w:sz w:val="28"/>
          <w:szCs w:val="28"/>
          <w:lang w:val="en-US"/>
        </w:rPr>
      </w:pPr>
    </w:p>
    <w:p w:rsidR="00921D53" w:rsidRDefault="00921D53">
      <w:pPr>
        <w:jc w:val="center"/>
        <w:rPr>
          <w:b/>
          <w:bCs/>
          <w:color w:val="000000"/>
          <w:spacing w:val="-4"/>
          <w:sz w:val="28"/>
          <w:szCs w:val="28"/>
          <w:lang w:val="en-US"/>
        </w:rPr>
      </w:pPr>
    </w:p>
    <w:p w:rsidR="00921D53" w:rsidRDefault="00921D53">
      <w:pPr>
        <w:spacing w:before="120"/>
        <w:ind w:firstLine="708"/>
        <w:jc w:val="both"/>
      </w:pPr>
      <w:r>
        <w:rPr>
          <w:b/>
          <w:bCs/>
        </w:rPr>
        <w:t>Чл. 1. (1)</w:t>
      </w:r>
      <w:r>
        <w:t xml:space="preserve"> Средствата по специалния фонд за здравно и социално подпомагане на персонала се формират централизирано в Сметната палата от начислените средства за социално</w:t>
      </w:r>
      <w:r>
        <w:rPr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>
        <w:t xml:space="preserve">битово и културно обслужване. </w:t>
      </w:r>
    </w:p>
    <w:p w:rsidR="00921D53" w:rsidRDefault="00921D53">
      <w:pPr>
        <w:spacing w:before="120"/>
        <w:ind w:firstLine="709"/>
        <w:jc w:val="both"/>
      </w:pPr>
      <w:r>
        <w:rPr>
          <w:b/>
          <w:bCs/>
        </w:rPr>
        <w:t>(2)</w:t>
      </w:r>
      <w:r>
        <w:t xml:space="preserve"> Средствата се заделят в отделна партида под наименованието „Фонд за здравно и социално подпомагане”, наричан по-долу „специален фонд”.</w:t>
      </w:r>
    </w:p>
    <w:p w:rsidR="00921D53" w:rsidRDefault="00921D53">
      <w:pPr>
        <w:spacing w:before="120"/>
        <w:ind w:firstLine="709"/>
        <w:jc w:val="both"/>
      </w:pPr>
      <w:r>
        <w:rPr>
          <w:b/>
          <w:bCs/>
        </w:rPr>
        <w:t>(3)</w:t>
      </w:r>
      <w:r>
        <w:t xml:space="preserve"> Размерът на средствата по специалния фонд се определя с решение на Събрание на пълномощниците.</w:t>
      </w:r>
    </w:p>
    <w:p w:rsidR="00921D53" w:rsidRDefault="00921D53">
      <w:pPr>
        <w:spacing w:before="120"/>
        <w:ind w:firstLine="709"/>
        <w:jc w:val="both"/>
      </w:pPr>
      <w:r>
        <w:rPr>
          <w:b/>
          <w:bCs/>
        </w:rPr>
        <w:t>Чл. 2. (1)</w:t>
      </w:r>
      <w:r>
        <w:t xml:space="preserve"> Събранието на пълномощниците избира с обикновено мнозинство и явно гласуване комисия от пет члена и двама резервни,</w:t>
      </w:r>
      <w:r>
        <w:rPr>
          <w:b/>
          <w:bCs/>
        </w:rPr>
        <w:t xml:space="preserve"> </w:t>
      </w:r>
      <w:r>
        <w:t xml:space="preserve">която разглежда молбите за отпускане на еднократна помощ от специалния фонд и предлага размерът на помощта за всеки конкретен случай. </w:t>
      </w:r>
    </w:p>
    <w:p w:rsidR="00921D53" w:rsidRDefault="00921D53">
      <w:pPr>
        <w:spacing w:before="120"/>
        <w:ind w:firstLine="709"/>
        <w:jc w:val="both"/>
      </w:pPr>
      <w:r>
        <w:rPr>
          <w:b/>
          <w:bCs/>
        </w:rPr>
        <w:t>(2)</w:t>
      </w:r>
      <w:r>
        <w:t xml:space="preserve"> В състава на комисията се включват представители на:</w:t>
      </w:r>
    </w:p>
    <w:p w:rsidR="00921D53" w:rsidRDefault="00921D53">
      <w:pPr>
        <w:spacing w:before="120"/>
        <w:ind w:firstLine="709"/>
        <w:jc w:val="both"/>
      </w:pPr>
      <w:r>
        <w:rPr>
          <w:b/>
          <w:bCs/>
        </w:rPr>
        <w:t>1.</w:t>
      </w:r>
      <w:r>
        <w:t xml:space="preserve"> трима одитори от одитните дирекциите на Сметната палата, като задължително един от тях е юрист;</w:t>
      </w:r>
    </w:p>
    <w:p w:rsidR="00921D53" w:rsidRDefault="00921D53">
      <w:pPr>
        <w:spacing w:before="120"/>
        <w:ind w:firstLine="709"/>
        <w:jc w:val="both"/>
      </w:pPr>
      <w:r>
        <w:rPr>
          <w:b/>
          <w:bCs/>
        </w:rPr>
        <w:t>2.</w:t>
      </w:r>
      <w:r>
        <w:t xml:space="preserve"> двама служители от административните звена на Сметната палата, като един от тях задължително е служител от сектор „Финансово – счетоводни дейности”.</w:t>
      </w:r>
    </w:p>
    <w:p w:rsidR="00921D53" w:rsidRDefault="00921D53">
      <w:pPr>
        <w:spacing w:before="120"/>
        <w:ind w:firstLine="708"/>
        <w:jc w:val="both"/>
      </w:pPr>
      <w:r>
        <w:rPr>
          <w:b/>
          <w:bCs/>
        </w:rPr>
        <w:t>(3)</w:t>
      </w:r>
      <w:r>
        <w:t xml:space="preserve"> Комисията се назначава за</w:t>
      </w:r>
      <w:r>
        <w:rPr>
          <w:shd w:val="clear" w:color="auto" w:fill="FFFFFF"/>
        </w:rPr>
        <w:t xml:space="preserve"> срок</w:t>
      </w:r>
      <w:r>
        <w:t xml:space="preserve"> от три години. </w:t>
      </w:r>
      <w:r>
        <w:rPr>
          <w:shd w:val="clear" w:color="auto" w:fill="FFFFFF"/>
        </w:rPr>
        <w:t>След изтичане на мандата на комисията, тя продължава своята работа до избирането на нова от Събранието на пълномощниците.</w:t>
      </w:r>
    </w:p>
    <w:p w:rsidR="00921D53" w:rsidRDefault="00921D53">
      <w:pPr>
        <w:spacing w:before="120"/>
        <w:ind w:firstLine="709"/>
        <w:jc w:val="both"/>
      </w:pPr>
      <w:r>
        <w:rPr>
          <w:b/>
          <w:bCs/>
        </w:rPr>
        <w:t>Чл. 3.(1)</w:t>
      </w:r>
      <w:r>
        <w:t xml:space="preserve"> Средствата по специалния фонд по чл. 1 се предоставят като еднократна помощ </w:t>
      </w:r>
      <w:r>
        <w:rPr>
          <w:shd w:val="clear" w:color="auto" w:fill="FFFFFF"/>
        </w:rPr>
        <w:t>за следните случаи:</w:t>
      </w:r>
      <w:r>
        <w:t xml:space="preserve"> </w:t>
      </w:r>
    </w:p>
    <w:p w:rsidR="00921D53" w:rsidRDefault="00921D53">
      <w:pPr>
        <w:spacing w:before="120"/>
        <w:ind w:firstLine="709"/>
        <w:jc w:val="both"/>
      </w:pPr>
      <w:r>
        <w:rPr>
          <w:b/>
          <w:bCs/>
        </w:rPr>
        <w:t>1.</w:t>
      </w:r>
      <w:r>
        <w:t xml:space="preserve"> закупуване на лекарства след тежко боледуване или операция – до 600 лв.;</w:t>
      </w:r>
    </w:p>
    <w:p w:rsidR="00921D53" w:rsidRDefault="00921D53">
      <w:pPr>
        <w:spacing w:before="120"/>
        <w:ind w:firstLine="709"/>
        <w:jc w:val="both"/>
      </w:pPr>
      <w:r>
        <w:rPr>
          <w:b/>
          <w:bCs/>
        </w:rPr>
        <w:t>2.</w:t>
      </w:r>
      <w:r>
        <w:t xml:space="preserve"> (изм. и доп. от 29.02.2016 г.) </w:t>
      </w:r>
      <w:bookmarkStart w:id="0" w:name="_GoBack"/>
      <w:bookmarkEnd w:id="0"/>
      <w:r>
        <w:t>подпомагане при операции – до 1 000 лв.;</w:t>
      </w:r>
    </w:p>
    <w:p w:rsidR="00921D53" w:rsidRDefault="00921D53">
      <w:pPr>
        <w:shd w:val="clear" w:color="auto" w:fill="FFFFFF"/>
        <w:spacing w:before="120"/>
        <w:ind w:firstLine="709"/>
        <w:jc w:val="both"/>
      </w:pPr>
      <w:r>
        <w:rPr>
          <w:b/>
          <w:bCs/>
        </w:rPr>
        <w:t>3.</w:t>
      </w:r>
      <w:r>
        <w:t xml:space="preserve"> специални рехабилитации след тежко боледуване или операция – до 600 лв.;</w:t>
      </w:r>
    </w:p>
    <w:p w:rsidR="00921D53" w:rsidRDefault="00921D53">
      <w:pPr>
        <w:shd w:val="clear" w:color="auto" w:fill="FFFFFF"/>
        <w:spacing w:before="120"/>
        <w:ind w:firstLine="709"/>
        <w:jc w:val="both"/>
      </w:pPr>
      <w:r>
        <w:rPr>
          <w:b/>
          <w:bCs/>
        </w:rPr>
        <w:t>4.</w:t>
      </w:r>
      <w:r>
        <w:t xml:space="preserve"> </w:t>
      </w:r>
      <w:r>
        <w:rPr>
          <w:shd w:val="clear" w:color="auto" w:fill="FFFFFF"/>
        </w:rPr>
        <w:t>при ползване на отпуск, поради</w:t>
      </w:r>
      <w:r>
        <w:t xml:space="preserve"> временна нетрудоспособност – над 40 дни в размер на 200 лв., над 90 дни – 400 лв. и над 180 дни – 600 лв.;</w:t>
      </w:r>
    </w:p>
    <w:p w:rsidR="00921D53" w:rsidRDefault="00921D53">
      <w:pPr>
        <w:spacing w:before="120"/>
        <w:ind w:firstLine="709"/>
        <w:jc w:val="both"/>
      </w:pPr>
      <w:r>
        <w:rPr>
          <w:b/>
          <w:bCs/>
        </w:rPr>
        <w:t>5.</w:t>
      </w:r>
      <w:r>
        <w:t xml:space="preserve"> подпомагане на семейството на починал служител от администрацията, който не е застрахован със застраховките по чл. 35 от Закона за Сметната палата – 1 000 лв.;</w:t>
      </w:r>
    </w:p>
    <w:p w:rsidR="00921D53" w:rsidRDefault="00921D53">
      <w:pPr>
        <w:pStyle w:val="BodyText2"/>
        <w:spacing w:before="120"/>
        <w:rPr>
          <w:lang w:val="en-US"/>
        </w:rPr>
      </w:pPr>
      <w:r>
        <w:rPr>
          <w:b/>
          <w:bCs/>
        </w:rPr>
        <w:t>6.</w:t>
      </w:r>
      <w:r>
        <w:t xml:space="preserve"> тежки и животоспасяващи случаи, съобразно възможностите на специалния фонд;</w:t>
      </w:r>
    </w:p>
    <w:p w:rsidR="00921D53" w:rsidRDefault="00921D53">
      <w:pPr>
        <w:spacing w:before="120"/>
        <w:ind w:firstLine="709"/>
        <w:jc w:val="both"/>
      </w:pPr>
      <w:r>
        <w:rPr>
          <w:b/>
          <w:bCs/>
          <w:shd w:val="clear" w:color="auto" w:fill="FFFFFF"/>
        </w:rPr>
        <w:t>7.</w:t>
      </w:r>
      <w:r>
        <w:rPr>
          <w:b/>
          <w:bCs/>
          <w:i/>
          <w:iCs/>
        </w:rPr>
        <w:t xml:space="preserve"> </w:t>
      </w:r>
      <w:r>
        <w:t>при затруднено финансово състояние на семейството на служител на Сметната палата  –</w:t>
      </w:r>
      <w:r>
        <w:rPr>
          <w:lang w:val="en-US"/>
        </w:rPr>
        <w:t xml:space="preserve"> </w:t>
      </w:r>
      <w:r>
        <w:t xml:space="preserve">според възможностите на фонда, но не повече от </w:t>
      </w:r>
      <w:r>
        <w:rPr>
          <w:lang w:val="en-US"/>
        </w:rPr>
        <w:t>3</w:t>
      </w:r>
      <w:r>
        <w:t>00 лв.</w:t>
      </w:r>
    </w:p>
    <w:p w:rsidR="00921D53" w:rsidRDefault="00921D53">
      <w:pPr>
        <w:spacing w:before="120"/>
        <w:ind w:firstLine="709"/>
        <w:jc w:val="both"/>
      </w:pPr>
      <w:r>
        <w:rPr>
          <w:b/>
          <w:bCs/>
        </w:rPr>
        <w:t>(2)</w:t>
      </w:r>
      <w:r>
        <w:t xml:space="preserve"> На служители, застраховани със застраховка “Живот” и “Злополука”</w:t>
      </w:r>
      <w:r>
        <w:rPr>
          <w:lang w:val="en-US"/>
        </w:rPr>
        <w:t>,</w:t>
      </w:r>
      <w:r>
        <w:t xml:space="preserve"> съгласно чл.</w:t>
      </w:r>
      <w:r>
        <w:rPr>
          <w:lang w:val="en-US"/>
        </w:rPr>
        <w:t xml:space="preserve"> </w:t>
      </w:r>
      <w:r>
        <w:t>35 от Закона за Сметната палата еднократна помощ се изплаща само след отказ на застрахователя или за случаи извън покритите рискове по сключения договор за групова застраховка от Сметната палата.</w:t>
      </w:r>
      <w:r>
        <w:tab/>
      </w:r>
    </w:p>
    <w:p w:rsidR="00921D53" w:rsidRDefault="00921D53">
      <w:pPr>
        <w:spacing w:before="120"/>
        <w:ind w:firstLine="709"/>
        <w:jc w:val="both"/>
      </w:pPr>
      <w:r>
        <w:rPr>
          <w:b/>
          <w:bCs/>
        </w:rPr>
        <w:t>Чл. 4. (1)</w:t>
      </w:r>
      <w:r>
        <w:t xml:space="preserve"> За еднократните помощи по чл. 3, се подава молба от служителя или от член на неговото семейство до комисията по чл. 2. Молбата се придружава задължително с копия на документи, удостоверяващи събитието (болничен лист, епикриза, рецепта, декларация за месечен доход на член от семейството), а за заплатените средства – оригинален документ за извършеното плащане.</w:t>
      </w:r>
    </w:p>
    <w:p w:rsidR="00921D53" w:rsidRDefault="00921D53">
      <w:pPr>
        <w:spacing w:before="120"/>
        <w:ind w:firstLine="709"/>
        <w:jc w:val="both"/>
      </w:pPr>
      <w:r>
        <w:rPr>
          <w:b/>
          <w:bCs/>
        </w:rPr>
        <w:t>(2)</w:t>
      </w:r>
      <w:r>
        <w:t xml:space="preserve"> В случаите на подадена молба от служители по чл. 3, ал. 2 към молбата се прилагат: копия от молбата до застрахователя и от документа за изплатените от него средства на застрахованото лице или от отказа на застрахователя да изплати застрахователното обезщетение на служителя, ако е направен такъв отказ.</w:t>
      </w:r>
    </w:p>
    <w:p w:rsidR="00921D53" w:rsidRDefault="00921D53">
      <w:pPr>
        <w:spacing w:before="120"/>
        <w:ind w:firstLine="709"/>
        <w:jc w:val="both"/>
      </w:pPr>
      <w:r>
        <w:rPr>
          <w:b/>
          <w:bCs/>
        </w:rPr>
        <w:t>(3)</w:t>
      </w:r>
      <w:r>
        <w:t xml:space="preserve"> Молбата за отпускане на еднократна помощ по чл. 3, т. 5. се подава от прекия ръководител на починалия служител или от член на неговото семейство.</w:t>
      </w:r>
    </w:p>
    <w:p w:rsidR="00921D53" w:rsidRDefault="00921D53">
      <w:pPr>
        <w:spacing w:before="120"/>
        <w:ind w:firstLine="709"/>
        <w:jc w:val="both"/>
      </w:pPr>
      <w:r>
        <w:rPr>
          <w:b/>
          <w:bCs/>
        </w:rPr>
        <w:t>Чл. 5. (1)</w:t>
      </w:r>
      <w:r>
        <w:t xml:space="preserve"> Комисията по чл. 2 разглежда постъпилите молби в срок до седем работни дни след изтичането на месеца, в който са постъпили.</w:t>
      </w:r>
    </w:p>
    <w:p w:rsidR="00921D53" w:rsidRDefault="00921D53">
      <w:pPr>
        <w:spacing w:before="120"/>
        <w:ind w:firstLine="709"/>
        <w:jc w:val="both"/>
      </w:pPr>
      <w:r>
        <w:rPr>
          <w:b/>
          <w:bCs/>
        </w:rPr>
        <w:t>(2)</w:t>
      </w:r>
      <w:r>
        <w:t xml:space="preserve"> Комисията изготвя протокол в два екземпляра, в който се посочват имената на служителите и размерът на помощите, които се предлагат за отпускане от специалния фонд.</w:t>
      </w:r>
    </w:p>
    <w:p w:rsidR="00921D53" w:rsidRDefault="00921D53">
      <w:pPr>
        <w:spacing w:before="120"/>
        <w:ind w:firstLine="709"/>
        <w:jc w:val="both"/>
      </w:pPr>
      <w:r>
        <w:rPr>
          <w:b/>
          <w:bCs/>
        </w:rPr>
        <w:t>(3)</w:t>
      </w:r>
      <w:r>
        <w:t xml:space="preserve"> При животоспасяващи случаи комисията разглежда молбите в срок до три работни дни от тяхното постъпване.</w:t>
      </w:r>
    </w:p>
    <w:p w:rsidR="00921D53" w:rsidRDefault="00921D53">
      <w:pPr>
        <w:spacing w:before="120"/>
        <w:ind w:firstLine="709"/>
        <w:jc w:val="both"/>
      </w:pPr>
      <w:r>
        <w:rPr>
          <w:b/>
          <w:bCs/>
        </w:rPr>
        <w:t>Чл. 6.</w:t>
      </w:r>
      <w:r>
        <w:t xml:space="preserve"> Протоколът по чл. 5, ал. 2 се представя на председателя на Сметната палата за внасяне на заседание, разглеждане и одобрение на разходите от Сметната палата.</w:t>
      </w:r>
    </w:p>
    <w:p w:rsidR="00921D53" w:rsidRDefault="00921D53">
      <w:pPr>
        <w:spacing w:before="120"/>
        <w:ind w:firstLine="709"/>
        <w:jc w:val="both"/>
        <w:rPr>
          <w:b/>
          <w:bCs/>
        </w:rPr>
      </w:pPr>
      <w:r>
        <w:rPr>
          <w:b/>
          <w:bCs/>
        </w:rPr>
        <w:t>Чл. 7.</w:t>
      </w:r>
      <w:r>
        <w:t xml:space="preserve"> След  решението на Сметната палата за отпускане на еднократна помощ, един екземпляр от протокола и решението се представят в счетоводството на Сметната палата като основание за изплащане на помощта, а другия – в архива на комисията.</w:t>
      </w:r>
    </w:p>
    <w:p w:rsidR="00921D53" w:rsidRDefault="00921D53">
      <w:pPr>
        <w:spacing w:before="120"/>
        <w:ind w:firstLine="709"/>
        <w:jc w:val="both"/>
        <w:rPr>
          <w:lang w:val="en-US"/>
        </w:rPr>
      </w:pPr>
      <w:r>
        <w:rPr>
          <w:b/>
          <w:bCs/>
        </w:rPr>
        <w:t>Чл. 8.</w:t>
      </w:r>
      <w:r>
        <w:t xml:space="preserve"> Неизползваните средства по специалния фонд се изплащат по равно на служителите през последния месец на годината, съгласно решението на Събранието на пълномощниците в Сметната палата.</w:t>
      </w:r>
    </w:p>
    <w:p w:rsidR="00921D53" w:rsidRDefault="00921D53">
      <w:pPr>
        <w:spacing w:before="120"/>
        <w:ind w:firstLine="709"/>
        <w:jc w:val="both"/>
        <w:rPr>
          <w:b/>
          <w:bCs/>
        </w:rPr>
      </w:pPr>
      <w:r>
        <w:rPr>
          <w:b/>
          <w:bCs/>
        </w:rPr>
        <w:t>Допълнителна разпоредба</w:t>
      </w:r>
    </w:p>
    <w:p w:rsidR="00921D53" w:rsidRDefault="00921D53">
      <w:pPr>
        <w:spacing w:before="120"/>
        <w:ind w:firstLine="708"/>
        <w:jc w:val="both"/>
      </w:pPr>
      <w:r>
        <w:rPr>
          <w:b/>
          <w:bCs/>
        </w:rPr>
        <w:t>§ 1.</w:t>
      </w:r>
      <w:r>
        <w:t xml:space="preserve"> По смисъла на настоящите правила:</w:t>
      </w:r>
    </w:p>
    <w:p w:rsidR="00921D53" w:rsidRDefault="00921D53">
      <w:pPr>
        <w:spacing w:before="120"/>
        <w:ind w:firstLine="708"/>
        <w:jc w:val="both"/>
      </w:pPr>
      <w:r>
        <w:t>1. “тежко боледуване”</w:t>
      </w:r>
      <w:r>
        <w:rPr>
          <w:lang w:val="en-US"/>
        </w:rPr>
        <w:t xml:space="preserve"> </w:t>
      </w:r>
      <w:r>
        <w:t>е заболяване на служител, продължило повече от 30 дни.</w:t>
      </w:r>
    </w:p>
    <w:p w:rsidR="00921D53" w:rsidRDefault="00921D53">
      <w:pPr>
        <w:spacing w:before="120"/>
        <w:ind w:firstLine="708"/>
        <w:jc w:val="both"/>
      </w:pPr>
      <w:r>
        <w:t>2.</w:t>
      </w:r>
      <w:r>
        <w:rPr>
          <w:lang w:val="en-US"/>
        </w:rPr>
        <w:t xml:space="preserve"> </w:t>
      </w:r>
      <w:r>
        <w:t>“специална рехабилитация”</w:t>
      </w:r>
      <w:r>
        <w:rPr>
          <w:lang w:val="en-US"/>
        </w:rPr>
        <w:t xml:space="preserve"> </w:t>
      </w:r>
      <w:r>
        <w:t>е</w:t>
      </w:r>
      <w:r>
        <w:rPr>
          <w:lang w:val="en-US"/>
        </w:rPr>
        <w:t xml:space="preserve"> </w:t>
      </w:r>
      <w:r>
        <w:t>предписана рехабилитация от личен лекар с направление от здравно заведение или за ползващите рехабилитации извън програмата на НОИ за подпомагане от здравния фонд.</w:t>
      </w:r>
    </w:p>
    <w:p w:rsidR="00921D53" w:rsidRDefault="00921D53">
      <w:pPr>
        <w:spacing w:before="120"/>
        <w:ind w:firstLine="708"/>
        <w:jc w:val="both"/>
      </w:pPr>
      <w:r>
        <w:t>3.</w:t>
      </w:r>
      <w:r>
        <w:rPr>
          <w:lang w:val="en-US"/>
        </w:rPr>
        <w:t xml:space="preserve"> </w:t>
      </w:r>
      <w:r>
        <w:t>”затруднено финансово състояние”</w:t>
      </w:r>
      <w:r>
        <w:rPr>
          <w:lang w:val="en-US"/>
        </w:rPr>
        <w:t xml:space="preserve"> </w:t>
      </w:r>
      <w:r>
        <w:t xml:space="preserve">е налице в случаите, когато месечния доход за предходните три месеца на член от семейството е под </w:t>
      </w:r>
      <w:r>
        <w:rPr>
          <w:lang w:val="en-US"/>
        </w:rPr>
        <w:t xml:space="preserve">300 </w:t>
      </w:r>
      <w:r>
        <w:t>лв.</w:t>
      </w:r>
    </w:p>
    <w:p w:rsidR="00921D53" w:rsidRDefault="00921D53">
      <w:pPr>
        <w:spacing w:before="120"/>
        <w:ind w:firstLine="708"/>
        <w:jc w:val="both"/>
        <w:rPr>
          <w:b/>
          <w:bCs/>
        </w:rPr>
      </w:pPr>
      <w:r>
        <w:rPr>
          <w:b/>
          <w:bCs/>
        </w:rPr>
        <w:t xml:space="preserve">Преходни и заключителни разпоредби </w:t>
      </w:r>
    </w:p>
    <w:p w:rsidR="00921D53" w:rsidRDefault="00921D53">
      <w:pPr>
        <w:spacing w:before="120"/>
        <w:ind w:firstLine="708"/>
        <w:jc w:val="both"/>
      </w:pPr>
      <w:r>
        <w:rPr>
          <w:b/>
          <w:bCs/>
        </w:rPr>
        <w:t>§ 2.</w:t>
      </w:r>
      <w:r>
        <w:t xml:space="preserve"> Подадените молби за отпускането на еднократни помощи от специалния фонд  до приемането на настоящите правила се разглеждат по досегашния ред.</w:t>
      </w:r>
    </w:p>
    <w:p w:rsidR="00921D53" w:rsidRDefault="00921D53">
      <w:pPr>
        <w:spacing w:before="120"/>
        <w:jc w:val="both"/>
      </w:pPr>
      <w:r>
        <w:rPr>
          <w:b/>
          <w:bCs/>
        </w:rPr>
        <w:tab/>
        <w:t>§ 3.</w:t>
      </w:r>
      <w:r>
        <w:t xml:space="preserve"> Избраните членове на комисията по чл. 2 с Решение от 0</w:t>
      </w:r>
      <w:r>
        <w:rPr>
          <w:lang w:val="en-US"/>
        </w:rPr>
        <w:t>9</w:t>
      </w:r>
      <w:r>
        <w:t xml:space="preserve">.02.2012 г. на Събранието на пълномощниците довършват мандата си. </w:t>
      </w:r>
    </w:p>
    <w:p w:rsidR="00921D53" w:rsidRDefault="00921D53">
      <w:pPr>
        <w:spacing w:before="120"/>
        <w:ind w:firstLine="708"/>
        <w:jc w:val="both"/>
        <w:rPr>
          <w:color w:val="000000"/>
          <w:spacing w:val="-4"/>
        </w:rPr>
      </w:pPr>
      <w:r>
        <w:rPr>
          <w:b/>
          <w:bCs/>
        </w:rPr>
        <w:t>§ 4.</w:t>
      </w:r>
      <w:r>
        <w:t xml:space="preserve"> Настоящите изменения и допълнения към Правилата</w:t>
      </w:r>
      <w:r>
        <w:rPr>
          <w:color w:val="000000"/>
          <w:spacing w:val="-5"/>
        </w:rPr>
        <w:t xml:space="preserve"> за формиране и изразходване на средствата от специалния фонд за здравно и </w:t>
      </w:r>
      <w:r>
        <w:rPr>
          <w:color w:val="000000"/>
          <w:spacing w:val="-4"/>
        </w:rPr>
        <w:t xml:space="preserve">социално подпомагане на персонала на Сметната палата, влизат в сила от момента на приемането им с Решение на Събранието на пълномощниците за 2013 г. </w:t>
      </w:r>
    </w:p>
    <w:p w:rsidR="00921D53" w:rsidRDefault="00921D53">
      <w:pPr>
        <w:spacing w:before="120"/>
        <w:ind w:firstLine="708"/>
        <w:jc w:val="both"/>
        <w:rPr>
          <w:b/>
          <w:bCs/>
        </w:rPr>
      </w:pPr>
      <w:r>
        <w:rPr>
          <w:b/>
          <w:bCs/>
          <w:color w:val="000000"/>
          <w:spacing w:val="-4"/>
        </w:rPr>
        <w:t xml:space="preserve">§ 5. </w:t>
      </w:r>
      <w:r>
        <w:t>Настоящите изменения и допълнения към Правилата</w:t>
      </w:r>
      <w:r>
        <w:rPr>
          <w:color w:val="000000"/>
          <w:spacing w:val="-5"/>
        </w:rPr>
        <w:t xml:space="preserve"> за формиране и изразходване на средствата от специалния фонд за здравно и </w:t>
      </w:r>
      <w:r>
        <w:rPr>
          <w:color w:val="000000"/>
          <w:spacing w:val="-4"/>
        </w:rPr>
        <w:t>социално подпомагане на персонала на Сметната палата, влизат в сила от момента на приемането им с Решение на Събранието на пълномощниците на 29.02.2016 г.</w:t>
      </w:r>
    </w:p>
    <w:sectPr w:rsidR="00921D53" w:rsidSect="00921D53"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D53"/>
    <w:rsid w:val="0092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pPr>
      <w:ind w:firstLine="709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eastAsia="Times New Roman" w:hAnsi="Times New Roman" w:cs="Times New Roman"/>
      <w:lang w:val="bg-BG" w:eastAsia="bg-BG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eastAsia="Times New Roman" w:hAnsi="Times New Roman" w:cs="Times New Roman"/>
      <w:b/>
      <w:bCs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822</Words>
  <Characters>4689</Characters>
  <Application>Microsoft Office Outlook</Application>
  <DocSecurity>0</DocSecurity>
  <Lines>0</Lines>
  <Paragraphs>0</Paragraphs>
  <ScaleCrop>false</ScaleCrop>
  <Company>NAO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ros</cp:lastModifiedBy>
  <cp:revision>7</cp:revision>
  <dcterms:created xsi:type="dcterms:W3CDTF">2016-05-18T10:11:00Z</dcterms:created>
  <dcterms:modified xsi:type="dcterms:W3CDTF">2016-07-05T12:05:00Z</dcterms:modified>
</cp:coreProperties>
</file>